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A62BE" w14:textId="77777777" w:rsidR="00B57477" w:rsidRDefault="00B57477">
      <w:pPr>
        <w:keepNext/>
        <w:overflowPunct w:val="0"/>
        <w:jc w:val="right"/>
        <w:textAlignment w:val="baseline"/>
        <w:rPr>
          <w:lang w:eastAsia="ar-SA"/>
        </w:rPr>
      </w:pPr>
      <w:r>
        <w:rPr>
          <w:lang w:eastAsia="ar-SA"/>
        </w:rPr>
        <w:t>Életige, 2012. március</w:t>
      </w:r>
    </w:p>
    <w:p w14:paraId="0F5B0BF6" w14:textId="77777777" w:rsidR="00B57477" w:rsidRDefault="00B57477">
      <w:pPr>
        <w:overflowPunct w:val="0"/>
        <w:jc w:val="both"/>
        <w:textAlignment w:val="baseline"/>
        <w:rPr>
          <w:lang w:eastAsia="ar-SA"/>
        </w:rPr>
      </w:pPr>
    </w:p>
    <w:p w14:paraId="32E6964A" w14:textId="77777777" w:rsidR="00B57477" w:rsidRDefault="00B57477">
      <w:pPr>
        <w:overflowPunct w:val="0"/>
        <w:jc w:val="both"/>
        <w:textAlignment w:val="baseline"/>
        <w:rPr>
          <w:lang w:eastAsia="ar-SA"/>
        </w:rPr>
      </w:pPr>
      <w:r>
        <w:rPr>
          <w:b/>
          <w:bCs/>
          <w:i/>
          <w:iCs/>
          <w:lang w:eastAsia="ar-SA"/>
        </w:rPr>
        <w:t>„Uram, kihez mennénk? Az örök élet igéi nálad vannak.” (Jn 6,68)</w:t>
      </w:r>
      <w:r>
        <w:rPr>
          <w:rStyle w:val="Lbjegyzet-hivatkozs"/>
          <w:b/>
          <w:bCs/>
          <w:i/>
          <w:iCs/>
          <w:lang w:eastAsia="ar-SA"/>
        </w:rPr>
        <w:footnoteReference w:id="1"/>
      </w:r>
    </w:p>
    <w:p w14:paraId="53205805" w14:textId="77777777" w:rsidR="00B57477" w:rsidRDefault="00B57477">
      <w:pPr>
        <w:overflowPunct w:val="0"/>
        <w:jc w:val="both"/>
        <w:textAlignment w:val="baseline"/>
        <w:rPr>
          <w:lang w:eastAsia="ar-SA"/>
        </w:rPr>
      </w:pPr>
    </w:p>
    <w:p w14:paraId="1ADD8811" w14:textId="77777777" w:rsidR="00B57477" w:rsidRDefault="00B57477">
      <w:pPr>
        <w:overflowPunct w:val="0"/>
        <w:ind w:firstLine="425"/>
        <w:jc w:val="both"/>
        <w:textAlignment w:val="baseline"/>
        <w:rPr>
          <w:lang w:eastAsia="ar-SA"/>
        </w:rPr>
      </w:pPr>
      <w:r>
        <w:rPr>
          <w:lang w:eastAsia="ar-SA"/>
        </w:rPr>
        <w:t>Jézus Isten Országáról beszélt az összegyűlt tömegnek. Egyszerű szavakkal, a hétköznapi életből merített példabeszédekkel szólt hozzájuk, szavainak mégis különleges vonzereje volt. Az embereket megérintette tanítása, mert úgy tanított, mint akinek hatalma van, és nem úgy, mint az írástudók. Amikor a főpapok és a farizeusok kérdőre vonták a katonákat, hogy miért nem hajtották végre a Jézus elfogatását elrendelő parancsot, még ők is így válaszoltak: „Sohasem beszélt úgy ember, ahogy ez beszél!”</w:t>
      </w:r>
      <w:r>
        <w:rPr>
          <w:rStyle w:val="Lbjegyzet-hivatkozs"/>
          <w:lang w:eastAsia="ar-SA"/>
        </w:rPr>
        <w:footnoteReference w:id="2"/>
      </w:r>
    </w:p>
    <w:p w14:paraId="3FB9BC42" w14:textId="77777777" w:rsidR="00B57477" w:rsidRDefault="00B57477">
      <w:pPr>
        <w:overflowPunct w:val="0"/>
        <w:ind w:firstLine="425"/>
        <w:jc w:val="both"/>
        <w:textAlignment w:val="baseline"/>
        <w:rPr>
          <w:lang w:eastAsia="ar-SA"/>
        </w:rPr>
      </w:pPr>
      <w:r>
        <w:rPr>
          <w:lang w:eastAsia="ar-SA"/>
        </w:rPr>
        <w:t>János evangéliuma beszámol néhány fénnyel teli beszélgetésről is, mint például amelyet Jézus Nikodémussal vagy a szamariai asszonnyal folytatott. Apostolaival ennél is tovább ment: nyíltan, hasonlatok nélkül beszélt nekik az Atyáról, a menny dolgairól, ami teljesen magával ragadta őket, annyira, hogy még akkor sem hátráltak meg, amikor nem teljesen értették a szavait, vagy amikor úgy tűnt, hogy túl nagy követelményeket támaszt általuk.</w:t>
      </w:r>
    </w:p>
    <w:p w14:paraId="5377FFC6" w14:textId="77777777" w:rsidR="00B57477" w:rsidRDefault="00B57477">
      <w:pPr>
        <w:overflowPunct w:val="0"/>
        <w:ind w:firstLine="425"/>
        <w:jc w:val="both"/>
        <w:textAlignment w:val="baseline"/>
        <w:rPr>
          <w:lang w:eastAsia="ar-SA"/>
        </w:rPr>
      </w:pPr>
      <w:r>
        <w:rPr>
          <w:lang w:eastAsia="ar-SA"/>
        </w:rPr>
        <w:t>„Kemény beszéd ez!”</w:t>
      </w:r>
      <w:r>
        <w:rPr>
          <w:rStyle w:val="Lbjegyzet-hivatkozs"/>
          <w:lang w:eastAsia="ar-SA"/>
        </w:rPr>
        <w:footnoteReference w:id="3"/>
      </w:r>
      <w:r>
        <w:rPr>
          <w:lang w:eastAsia="ar-SA"/>
        </w:rPr>
        <w:t xml:space="preserve"> – mondták néhányan a tanítványok közül, annak hallatára, hogy a testét adja majd nekik ételül és a vérét italul.</w:t>
      </w:r>
    </w:p>
    <w:p w14:paraId="3D9C39EE" w14:textId="77777777" w:rsidR="00B57477" w:rsidRDefault="00B57477">
      <w:pPr>
        <w:overflowPunct w:val="0"/>
        <w:ind w:firstLine="425"/>
        <w:jc w:val="both"/>
        <w:textAlignment w:val="baseline"/>
        <w:rPr>
          <w:lang w:eastAsia="ar-SA"/>
        </w:rPr>
      </w:pPr>
      <w:r>
        <w:rPr>
          <w:lang w:eastAsia="ar-SA"/>
        </w:rPr>
        <w:t>Amikor Jézus látta, hogy tanítványai elfordulnak tőle és már nem tartanak vele, a tizenkét apostolhoz fordult: „Ti is el akartok menni?”</w:t>
      </w:r>
      <w:r>
        <w:rPr>
          <w:rStyle w:val="Lbjegyzet-hivatkozs"/>
          <w:lang w:eastAsia="ar-SA"/>
        </w:rPr>
        <w:footnoteReference w:id="4"/>
      </w:r>
    </w:p>
    <w:p w14:paraId="2D6721A0" w14:textId="77777777" w:rsidR="00B57477" w:rsidRDefault="00B57477">
      <w:pPr>
        <w:overflowPunct w:val="0"/>
        <w:ind w:firstLine="425"/>
        <w:jc w:val="both"/>
        <w:textAlignment w:val="baseline"/>
        <w:rPr>
          <w:lang w:eastAsia="ar-SA"/>
        </w:rPr>
      </w:pPr>
      <w:r>
        <w:rPr>
          <w:lang w:eastAsia="ar-SA"/>
        </w:rPr>
        <w:t>Péter, akit teljesen lenyűgözött, amit az első találkozásuk óta hallott, és amiért örökre elkötelezte magát Jézus mellett, mindnyájuk nevében válaszolta:</w:t>
      </w:r>
    </w:p>
    <w:p w14:paraId="6881B982" w14:textId="77777777" w:rsidR="00B57477" w:rsidRDefault="00B57477">
      <w:pPr>
        <w:overflowPunct w:val="0"/>
        <w:jc w:val="both"/>
        <w:textAlignment w:val="baseline"/>
        <w:rPr>
          <w:lang w:eastAsia="ar-SA"/>
        </w:rPr>
      </w:pPr>
    </w:p>
    <w:p w14:paraId="53B6ADE1" w14:textId="77777777" w:rsidR="00B57477" w:rsidRDefault="00B57477">
      <w:pPr>
        <w:overflowPunct w:val="0"/>
        <w:jc w:val="both"/>
        <w:textAlignment w:val="baseline"/>
        <w:rPr>
          <w:b/>
          <w:bCs/>
          <w:i/>
          <w:iCs/>
          <w:lang w:eastAsia="ar-SA"/>
        </w:rPr>
      </w:pPr>
      <w:r>
        <w:rPr>
          <w:b/>
          <w:bCs/>
          <w:i/>
          <w:iCs/>
          <w:lang w:eastAsia="ar-SA"/>
        </w:rPr>
        <w:t>„Uram, kihez mennénk? Az örök élet igéi nálad vannak.”</w:t>
      </w:r>
    </w:p>
    <w:p w14:paraId="22398208" w14:textId="77777777" w:rsidR="00B57477" w:rsidRDefault="00B57477">
      <w:pPr>
        <w:overflowPunct w:val="0"/>
        <w:jc w:val="both"/>
        <w:textAlignment w:val="baseline"/>
        <w:rPr>
          <w:lang w:eastAsia="ar-SA"/>
        </w:rPr>
      </w:pPr>
    </w:p>
    <w:p w14:paraId="133E38F6" w14:textId="77777777" w:rsidR="00B57477" w:rsidRDefault="00B57477">
      <w:pPr>
        <w:overflowPunct w:val="0"/>
        <w:ind w:firstLine="425"/>
        <w:jc w:val="both"/>
        <w:textAlignment w:val="baseline"/>
        <w:rPr>
          <w:lang w:eastAsia="ar-SA"/>
        </w:rPr>
      </w:pPr>
      <w:r>
        <w:rPr>
          <w:lang w:eastAsia="ar-SA"/>
        </w:rPr>
        <w:t>Péter megértette, hogy Mesterének szavai mások, mint a többi mesteré. Azok a szavak, amelyek a földről indulnak, és a földhöz szólnak, a földhöz is tartoznak, és sorsuk a földével azonos. Jézus szava lélek és élet, mert az égből származik: fény, amely a magasból száll alá, és magasságbeli hatalma van. Igéi átfogóbbak, és mélyebbre hatolnak bármilyen más szónál, még a filozófusok, politikusok vagy költők szavainál is. „Örök életet adó igék”</w:t>
      </w:r>
      <w:r>
        <w:rPr>
          <w:rStyle w:val="Lbjegyzet-hivatkozs"/>
          <w:lang w:eastAsia="ar-SA"/>
        </w:rPr>
        <w:footnoteReference w:id="5"/>
      </w:r>
      <w:r>
        <w:rPr>
          <w:lang w:eastAsia="ar-SA"/>
        </w:rPr>
        <w:t>, mert magukban foglalják, kifejezik és átadják az isteni élet teljességét, amelynek soha nem lesz vége.</w:t>
      </w:r>
    </w:p>
    <w:p w14:paraId="551BF6DB" w14:textId="77777777" w:rsidR="00B57477" w:rsidRDefault="00B57477">
      <w:pPr>
        <w:overflowPunct w:val="0"/>
        <w:ind w:firstLine="425"/>
        <w:jc w:val="both"/>
        <w:textAlignment w:val="baseline"/>
        <w:rPr>
          <w:lang w:eastAsia="ar-SA"/>
        </w:rPr>
      </w:pPr>
      <w:r>
        <w:rPr>
          <w:lang w:eastAsia="ar-SA"/>
        </w:rPr>
        <w:t>Jézus feltámadt és él. Szavai ezért nem egyszerű emlékek, még akkor sem, ha a múltban hangzottak el, hanem olyan szavak, amelyeket Ő ma intéz mindannyiunkhoz és minden idők minden egyes emberéhez: egyetemes és örök igék.</w:t>
      </w:r>
    </w:p>
    <w:p w14:paraId="2CD9FFF5" w14:textId="77777777" w:rsidR="00B57477" w:rsidRDefault="00B57477">
      <w:pPr>
        <w:overflowPunct w:val="0"/>
        <w:ind w:firstLine="425"/>
        <w:jc w:val="both"/>
        <w:textAlignment w:val="baseline"/>
        <w:rPr>
          <w:lang w:eastAsia="ar-SA"/>
        </w:rPr>
      </w:pPr>
      <w:r>
        <w:rPr>
          <w:lang w:eastAsia="ar-SA"/>
        </w:rPr>
        <w:t>Jézus igéi! Ha lehet így mondani, ezek voltak legkiemelkedőbb alkotásai. Az Ige, aki emberi szavakkal szólal meg: micsoda tartalom, micsoda erő, micsoda hangsúly, micsoda hang!</w:t>
      </w:r>
    </w:p>
    <w:p w14:paraId="423D3006" w14:textId="77777777" w:rsidR="00B57477" w:rsidRDefault="00B57477">
      <w:pPr>
        <w:overflowPunct w:val="0"/>
        <w:ind w:firstLine="425"/>
        <w:jc w:val="both"/>
        <w:textAlignment w:val="baseline"/>
        <w:rPr>
          <w:lang w:eastAsia="ar-SA"/>
        </w:rPr>
      </w:pPr>
      <w:r>
        <w:rPr>
          <w:lang w:eastAsia="ar-SA"/>
        </w:rPr>
        <w:t>„Egy nap – írja például Nagy Szent Vazul</w:t>
      </w:r>
      <w:r>
        <w:rPr>
          <w:rStyle w:val="Lbjegyzet-hivatkozs"/>
          <w:lang w:eastAsia="ar-SA"/>
        </w:rPr>
        <w:footnoteReference w:id="6"/>
      </w:r>
      <w:r>
        <w:rPr>
          <w:lang w:eastAsia="ar-SA"/>
        </w:rPr>
        <w:t xml:space="preserve"> – </w:t>
      </w:r>
      <w:r>
        <w:rPr>
          <w:rFonts w:eastAsia="MS Mincho"/>
          <w:lang w:eastAsia="ar-SA"/>
        </w:rPr>
        <w:t>szinte hosszú álomból ébredve, az Evangélium igazságának csodálatos fényébe tekintettem, és felfedeztem, mennyire hiábavaló a bölcsessége e világ fejedelmeinek.”</w:t>
      </w:r>
      <w:r>
        <w:rPr>
          <w:rStyle w:val="Lbjegyzet-hivatkozs"/>
          <w:rFonts w:eastAsia="MS Mincho"/>
          <w:lang w:eastAsia="ar-SA"/>
        </w:rPr>
        <w:footnoteReference w:id="7"/>
      </w:r>
    </w:p>
    <w:p w14:paraId="40681DBD" w14:textId="77777777" w:rsidR="00B57477" w:rsidRDefault="00B57477">
      <w:pPr>
        <w:overflowPunct w:val="0"/>
        <w:ind w:firstLine="425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Lisieux-i Teréz 1897. május 9-én kelt levelében így ír: „Előfordul, hogy amikor bizonyos lelki témájú értekezéseket olvasok… szegény, kis lelkem gyorsan elfárad. Becsukom hát a </w:t>
      </w:r>
      <w:r>
        <w:rPr>
          <w:lang w:eastAsia="ar-SA"/>
        </w:rPr>
        <w:lastRenderedPageBreak/>
        <w:t>bölcselkedők könyvét, melytől szétrobban a fejem, és kiszárad a szívem, és kezembe veszem a Szentírást. Hirtelen minden ragyogóvá lesz: egyetlen igéje is végtelen távlatokat nyit meg lelkem előtt, és a tökéletesség elérése egyszerűnek tűnik.”</w:t>
      </w:r>
      <w:r>
        <w:rPr>
          <w:rStyle w:val="Lbjegyzet-hivatkozs"/>
          <w:lang w:eastAsia="ar-SA"/>
        </w:rPr>
        <w:footnoteReference w:id="8"/>
      </w:r>
    </w:p>
    <w:p w14:paraId="7549A10A" w14:textId="77777777" w:rsidR="00B57477" w:rsidRDefault="00B57477">
      <w:pPr>
        <w:overflowPunct w:val="0"/>
        <w:ind w:firstLine="425"/>
        <w:jc w:val="both"/>
        <w:textAlignment w:val="baseline"/>
        <w:rPr>
          <w:lang w:eastAsia="ar-SA"/>
        </w:rPr>
      </w:pPr>
      <w:r>
        <w:rPr>
          <w:lang w:eastAsia="ar-SA"/>
        </w:rPr>
        <w:t>Igen, az isteni szavak betöltik a végtelenre teremtett lelket; és mivel ez a szó fény, szeretet és élet, belülről világítja meg nemcsak az elmét, hanem az egész létet. Békét ad még a zaklatott, szorongással teli pillanatokban is, azt a békét, amelyet Jézus sajátjának nevez: „az én békém”. Teljes örömöt ad, még a lelket marcangoló fájdalom közepette is, erőt ad különösen akkor, amikor elcsüggednénk vagy elbátortalanodnánk. Szabaddá tesz, mert megnyitja az Igazság útját.</w:t>
      </w:r>
    </w:p>
    <w:p w14:paraId="24B4047B" w14:textId="77777777" w:rsidR="00B57477" w:rsidRDefault="00B57477">
      <w:pPr>
        <w:overflowPunct w:val="0"/>
        <w:jc w:val="both"/>
        <w:textAlignment w:val="baseline"/>
        <w:rPr>
          <w:lang w:eastAsia="ar-SA"/>
        </w:rPr>
      </w:pPr>
    </w:p>
    <w:p w14:paraId="291CA24D" w14:textId="77777777" w:rsidR="00B57477" w:rsidRDefault="00B57477">
      <w:pPr>
        <w:overflowPunct w:val="0"/>
        <w:jc w:val="both"/>
        <w:textAlignment w:val="baseline"/>
        <w:rPr>
          <w:b/>
          <w:bCs/>
          <w:i/>
          <w:iCs/>
          <w:lang w:eastAsia="ar-SA"/>
        </w:rPr>
      </w:pPr>
      <w:r>
        <w:rPr>
          <w:b/>
          <w:bCs/>
          <w:i/>
          <w:iCs/>
          <w:lang w:eastAsia="ar-SA"/>
        </w:rPr>
        <w:t>„Uram, kihez mennénk? Az örök élet igéi nálad vannak.”</w:t>
      </w:r>
    </w:p>
    <w:p w14:paraId="4A8B1F9E" w14:textId="77777777" w:rsidR="00B57477" w:rsidRDefault="00B57477">
      <w:pPr>
        <w:overflowPunct w:val="0"/>
        <w:jc w:val="both"/>
        <w:textAlignment w:val="baseline"/>
        <w:rPr>
          <w:lang w:eastAsia="ar-SA"/>
        </w:rPr>
      </w:pPr>
    </w:p>
    <w:p w14:paraId="5648BA5A" w14:textId="77777777" w:rsidR="00B57477" w:rsidRDefault="00B57477">
      <w:pPr>
        <w:overflowPunct w:val="0"/>
        <w:ind w:firstLine="425"/>
        <w:jc w:val="both"/>
        <w:textAlignment w:val="baseline"/>
        <w:rPr>
          <w:lang w:eastAsia="ar-SA"/>
        </w:rPr>
      </w:pPr>
      <w:r>
        <w:rPr>
          <w:lang w:eastAsia="ar-SA"/>
        </w:rPr>
        <w:t>Az e havi életige arra emlékeztet, hogy akit követni akarunk, az egyetlen Mester: Jézus. Még akkor is, ha úgy tűnik, szavai kemények, és túl nagy követelményeket támasztanak: hogy legyünk becsületesek a munkában, hogy bocsássunk meg, szolgáljunk másokat ahelyett, hogy önzően magunkra gondolnánk, maradjunk hűségesek a családi életben, ápoljunk egy élete végére érő beteget anélkül, hogy teret engednénk az eutanázia gondolatának…</w:t>
      </w:r>
    </w:p>
    <w:p w14:paraId="3F21F340" w14:textId="77777777" w:rsidR="00B57477" w:rsidRDefault="00B57477">
      <w:pPr>
        <w:overflowPunct w:val="0"/>
        <w:ind w:firstLine="425"/>
        <w:jc w:val="both"/>
        <w:textAlignment w:val="baseline"/>
        <w:rPr>
          <w:lang w:eastAsia="ar-SA"/>
        </w:rPr>
      </w:pPr>
      <w:r>
        <w:rPr>
          <w:lang w:eastAsia="ar-SA"/>
        </w:rPr>
        <w:t>Sok olyan mester van, akik könnyű megoldásokra és megalkuvásra hívnak. Mi az egyetlen Mestert akarjuk hallgatni és követni, mert csak Ő mondja ki az igazat, és csak neki vannak „örök életet adó igéi”. Így mi is elismételhetjük Péter szavait.</w:t>
      </w:r>
    </w:p>
    <w:p w14:paraId="147DAEF3" w14:textId="77777777" w:rsidR="00B57477" w:rsidRDefault="00B57477">
      <w:pPr>
        <w:overflowPunct w:val="0"/>
        <w:ind w:firstLine="425"/>
        <w:jc w:val="both"/>
        <w:textAlignment w:val="baseline"/>
        <w:rPr>
          <w:lang w:eastAsia="ar-SA"/>
        </w:rPr>
      </w:pPr>
      <w:r>
        <w:rPr>
          <w:lang w:eastAsia="ar-SA"/>
        </w:rPr>
        <w:t>Most, a nagyböjtben, amikor a Feltámadás nagy ünnepére készülünk, valóban az egyetlen Mester iskolájába kell járnunk, az Ő tanítványává kell lennünk. Bennünk is szenvedélyes szeretetnek kell megszületnie Isten igéje iránt: figyelmesen kell fogadnunk, amikor hirdetik a templomban, olvasnunk, tanulmányoznunk, elmélkednünk kell róla…</w:t>
      </w:r>
    </w:p>
    <w:p w14:paraId="34AD6BCE" w14:textId="77777777" w:rsidR="00B57477" w:rsidRDefault="00B57477">
      <w:pPr>
        <w:overflowPunct w:val="0"/>
        <w:ind w:firstLine="425"/>
        <w:jc w:val="both"/>
        <w:textAlignment w:val="baseline"/>
        <w:rPr>
          <w:lang w:eastAsia="ar-SA"/>
        </w:rPr>
      </w:pPr>
      <w:r>
        <w:rPr>
          <w:lang w:eastAsia="ar-SA"/>
        </w:rPr>
        <w:t>Elsősorban mégis arra kaptunk meghívást, hogy éljük, ahogyan azt maga a Szentírás tanítja: „A tanítást váltsátok tettekre, ne csak hallgassátok, mert különben magatokat csaljátok meg!”</w:t>
      </w:r>
      <w:r>
        <w:rPr>
          <w:rStyle w:val="Lbjegyzet-hivatkozs"/>
          <w:lang w:eastAsia="ar-SA"/>
        </w:rPr>
        <w:footnoteReference w:id="9"/>
      </w:r>
      <w:r>
        <w:rPr>
          <w:lang w:eastAsia="ar-SA"/>
        </w:rPr>
        <w:t xml:space="preserve"> Ezért szentelünk különleges figyelmet minden hónapban egy igének, hagyva, hogy belénk hatoljon, magához alakítson, hogy az ige „</w:t>
      </w:r>
      <w:r>
        <w:rPr>
          <w:i/>
          <w:iCs/>
          <w:lang w:eastAsia="ar-SA"/>
        </w:rPr>
        <w:t>éljen bennünket</w:t>
      </w:r>
      <w:r>
        <w:rPr>
          <w:lang w:eastAsia="ar-SA"/>
        </w:rPr>
        <w:t>”. Jézus egy-egy szavát életre váltva az egész Evangéliumot éljük, mert Ő minden szavában egészen ajándékozza magát, Ő maga jön hozzánk, hogy bennünk éljen. Mint a Feltámadott isteni bölcsességének egy csöppje: apránként a lelkünk mélyére hatol, és korábbi gondolkodásmódunk, akaratunk és szokásaink helyébe lép az élet minden területén.</w:t>
      </w:r>
    </w:p>
    <w:p w14:paraId="7C0D9B45" w14:textId="77777777" w:rsidR="00B57477" w:rsidRDefault="00B57477">
      <w:pPr>
        <w:overflowPunct w:val="0"/>
        <w:jc w:val="both"/>
        <w:textAlignment w:val="baseline"/>
        <w:rPr>
          <w:lang w:eastAsia="ar-SA"/>
        </w:rPr>
      </w:pPr>
    </w:p>
    <w:p w14:paraId="310A9350" w14:textId="77777777" w:rsidR="00B57477" w:rsidRDefault="00B57477">
      <w:pPr>
        <w:overflowPunct w:val="0"/>
        <w:ind w:firstLine="6804"/>
        <w:textAlignment w:val="baseline"/>
      </w:pPr>
      <w:r>
        <w:rPr>
          <w:lang w:eastAsia="ar-SA"/>
        </w:rPr>
        <w:t>Chiara Lubich</w:t>
      </w:r>
    </w:p>
    <w:sectPr w:rsidR="00B5747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6F238" w14:textId="77777777" w:rsidR="00B57477" w:rsidRDefault="00B57477">
      <w:r>
        <w:separator/>
      </w:r>
    </w:p>
  </w:endnote>
  <w:endnote w:type="continuationSeparator" w:id="0">
    <w:p w14:paraId="0A193981" w14:textId="77777777" w:rsidR="00B57477" w:rsidRDefault="00B5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2379B" w14:textId="77777777" w:rsidR="00B57477" w:rsidRDefault="00B57477">
      <w:r>
        <w:separator/>
      </w:r>
    </w:p>
  </w:footnote>
  <w:footnote w:type="continuationSeparator" w:id="0">
    <w:p w14:paraId="7E48F393" w14:textId="77777777" w:rsidR="00B57477" w:rsidRDefault="00B57477">
      <w:r>
        <w:continuationSeparator/>
      </w:r>
    </w:p>
  </w:footnote>
  <w:footnote w:id="1">
    <w:p w14:paraId="4790887D" w14:textId="77777777" w:rsidR="00000000" w:rsidRDefault="00B57477">
      <w:pPr>
        <w:overflowPunct w:val="0"/>
        <w:textAlignment w:val="baseline"/>
      </w:pPr>
      <w:r>
        <w:rPr>
          <w:rStyle w:val="Lbjegyzet-karakterek"/>
        </w:rPr>
        <w:footnoteRef/>
      </w:r>
      <w:r>
        <w:rPr>
          <w:sz w:val="20"/>
          <w:szCs w:val="20"/>
          <w:lang w:eastAsia="ar-SA"/>
        </w:rPr>
        <w:tab/>
        <w:t xml:space="preserve"> Az Élet Igéje, 2003. március. Megjelent: </w:t>
      </w:r>
      <w:r>
        <w:rPr>
          <w:i/>
          <w:iCs/>
          <w:sz w:val="20"/>
          <w:szCs w:val="20"/>
          <w:lang w:eastAsia="ar-SA"/>
        </w:rPr>
        <w:t>Új Város</w:t>
      </w:r>
      <w:r>
        <w:rPr>
          <w:sz w:val="20"/>
          <w:szCs w:val="20"/>
          <w:lang w:eastAsia="ar-SA"/>
        </w:rPr>
        <w:t>, 2003/3</w:t>
      </w:r>
    </w:p>
  </w:footnote>
  <w:footnote w:id="2">
    <w:p w14:paraId="0ED109EA" w14:textId="77777777" w:rsidR="00000000" w:rsidRDefault="00B57477">
      <w:pPr>
        <w:overflowPunct w:val="0"/>
        <w:textAlignment w:val="baseline"/>
      </w:pPr>
      <w:r>
        <w:rPr>
          <w:rStyle w:val="Lbjegyzet-karakterek"/>
        </w:rPr>
        <w:footnoteRef/>
      </w:r>
      <w:r>
        <w:rPr>
          <w:sz w:val="20"/>
          <w:szCs w:val="20"/>
          <w:lang w:eastAsia="ar-SA"/>
        </w:rPr>
        <w:tab/>
        <w:t xml:space="preserve"> Jn 7,46</w:t>
      </w:r>
    </w:p>
  </w:footnote>
  <w:footnote w:id="3">
    <w:p w14:paraId="04761C12" w14:textId="77777777" w:rsidR="00000000" w:rsidRDefault="00B57477">
      <w:pPr>
        <w:overflowPunct w:val="0"/>
        <w:textAlignment w:val="baseline"/>
      </w:pPr>
      <w:r>
        <w:rPr>
          <w:rStyle w:val="Lbjegyzet-karakterek"/>
        </w:rPr>
        <w:footnoteRef/>
      </w:r>
      <w:r>
        <w:rPr>
          <w:sz w:val="20"/>
          <w:szCs w:val="20"/>
          <w:lang w:eastAsia="ar-SA"/>
        </w:rPr>
        <w:tab/>
        <w:t xml:space="preserve"> Jn 6,60</w:t>
      </w:r>
    </w:p>
  </w:footnote>
  <w:footnote w:id="4">
    <w:p w14:paraId="421F8BA5" w14:textId="77777777" w:rsidR="00000000" w:rsidRDefault="00B57477">
      <w:pPr>
        <w:overflowPunct w:val="0"/>
        <w:textAlignment w:val="baseline"/>
      </w:pPr>
      <w:r>
        <w:rPr>
          <w:rStyle w:val="Lbjegyzet-karakterek"/>
        </w:rPr>
        <w:footnoteRef/>
      </w:r>
      <w:r>
        <w:rPr>
          <w:sz w:val="20"/>
          <w:szCs w:val="20"/>
          <w:lang w:eastAsia="ar-SA"/>
        </w:rPr>
        <w:tab/>
        <w:t xml:space="preserve"> Jn 6,67</w:t>
      </w:r>
    </w:p>
  </w:footnote>
  <w:footnote w:id="5">
    <w:p w14:paraId="4F3D201E" w14:textId="77777777" w:rsidR="00000000" w:rsidRDefault="00B57477">
      <w:pPr>
        <w:overflowPunct w:val="0"/>
        <w:textAlignment w:val="baseline"/>
      </w:pPr>
      <w:r>
        <w:rPr>
          <w:rStyle w:val="Lbjegyzet-karakterek"/>
        </w:rPr>
        <w:footnoteRef/>
      </w:r>
      <w:r>
        <w:rPr>
          <w:sz w:val="20"/>
          <w:szCs w:val="20"/>
          <w:lang w:eastAsia="ar-SA"/>
        </w:rPr>
        <w:tab/>
        <w:t xml:space="preserve"> Jn 6,68</w:t>
      </w:r>
    </w:p>
  </w:footnote>
  <w:footnote w:id="6">
    <w:p w14:paraId="7705FD4E" w14:textId="77777777" w:rsidR="00000000" w:rsidRDefault="00B57477">
      <w:pPr>
        <w:tabs>
          <w:tab w:val="left" w:pos="3686"/>
        </w:tabs>
        <w:overflowPunct w:val="0"/>
        <w:textAlignment w:val="baseline"/>
      </w:pPr>
      <w:r>
        <w:rPr>
          <w:rStyle w:val="Lbjegyzet-karakterek"/>
        </w:rPr>
        <w:footnoteRef/>
      </w:r>
      <w:r>
        <w:rPr>
          <w:sz w:val="20"/>
          <w:szCs w:val="20"/>
          <w:lang w:eastAsia="ar-SA"/>
        </w:rPr>
        <w:tab/>
        <w:t xml:space="preserve"> Vazul (330-379), a nagy egyházatyák egyike, Cezárea püspöke</w:t>
      </w:r>
    </w:p>
  </w:footnote>
  <w:footnote w:id="7">
    <w:p w14:paraId="3BD39472" w14:textId="77777777" w:rsidR="00000000" w:rsidRDefault="00B57477">
      <w:pPr>
        <w:overflowPunct w:val="0"/>
        <w:textAlignment w:val="baseline"/>
      </w:pPr>
      <w:r>
        <w:rPr>
          <w:rStyle w:val="Lbjegyzet-karakterek"/>
        </w:rPr>
        <w:footnoteRef/>
      </w:r>
      <w:r>
        <w:rPr>
          <w:rFonts w:eastAsia="MS Mincho"/>
          <w:sz w:val="20"/>
          <w:szCs w:val="20"/>
          <w:lang w:eastAsia="ar-SA"/>
        </w:rPr>
        <w:tab/>
        <w:t xml:space="preserve"> Epistolario. ep. CCXXIII, 2. Ancona, 1966. pp. 624-625.</w:t>
      </w:r>
    </w:p>
  </w:footnote>
  <w:footnote w:id="8">
    <w:p w14:paraId="3EF29DAD" w14:textId="77777777" w:rsidR="00000000" w:rsidRDefault="00B57477">
      <w:pPr>
        <w:overflowPunct w:val="0"/>
        <w:textAlignment w:val="baseline"/>
      </w:pPr>
      <w:r>
        <w:rPr>
          <w:rStyle w:val="Lbjegyzet-karakterek"/>
        </w:rPr>
        <w:footnoteRef/>
      </w:r>
      <w:r>
        <w:rPr>
          <w:sz w:val="20"/>
          <w:szCs w:val="20"/>
          <w:lang w:eastAsia="ar-SA"/>
        </w:rPr>
        <w:tab/>
        <w:t xml:space="preserve"> 202. sz. levél</w:t>
      </w:r>
    </w:p>
  </w:footnote>
  <w:footnote w:id="9">
    <w:p w14:paraId="7C97BB87" w14:textId="77777777" w:rsidR="00000000" w:rsidRDefault="00B57477">
      <w:pPr>
        <w:overflowPunct w:val="0"/>
        <w:textAlignment w:val="baseline"/>
      </w:pPr>
      <w:r>
        <w:rPr>
          <w:rStyle w:val="Lbjegyzet-karakterek"/>
        </w:rPr>
        <w:footnoteRef/>
      </w:r>
      <w:r>
        <w:rPr>
          <w:sz w:val="20"/>
          <w:szCs w:val="20"/>
          <w:lang w:eastAsia="ar-SA"/>
        </w:rPr>
        <w:tab/>
        <w:t xml:space="preserve"> Jak 1,22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57477"/>
    <w:rsid w:val="002F5E92"/>
    <w:rsid w:val="00B5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8635D"/>
  <w14:defaultImageDpi w14:val="0"/>
  <w15:docId w15:val="{9DD5F2F5-C317-44C5-950D-356CC565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  <w:autoSpaceDE w:val="0"/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karakterek">
    <w:name w:val="Lábjegyzet-karakterek"/>
    <w:uiPriority w:val="99"/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character" w:styleId="Vgjegyzet-hivatkozs">
    <w:name w:val="endnote reference"/>
    <w:basedOn w:val="Bekezdsalapbettpusa"/>
    <w:uiPriority w:val="99"/>
    <w:rPr>
      <w:vertAlign w:val="superscript"/>
    </w:rPr>
  </w:style>
  <w:style w:type="character" w:customStyle="1" w:styleId="Vgjegyzet-karakterek">
    <w:name w:val="Végjegyzet-karakterek"/>
    <w:uiPriority w:val="99"/>
  </w:style>
  <w:style w:type="paragraph" w:customStyle="1" w:styleId="Cmsor">
    <w:name w:val="Címsor"/>
    <w:basedOn w:val="Norml"/>
    <w:next w:val="Szvegtrzs"/>
    <w:uiPriority w:val="9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link w:val="SzvegtrzsChar"/>
    <w:uiPriority w:val="9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sz w:val="24"/>
      <w:szCs w:val="24"/>
    </w:rPr>
  </w:style>
  <w:style w:type="paragraph" w:styleId="Lista">
    <w:name w:val="List"/>
    <w:basedOn w:val="Szvegtrzs"/>
    <w:uiPriority w:val="99"/>
    <w:rPr>
      <w:rFonts w:ascii="Arial" w:hAnsi="Arial"/>
    </w:rPr>
  </w:style>
  <w:style w:type="paragraph" w:customStyle="1" w:styleId="Felirat">
    <w:name w:val="Felirat"/>
    <w:basedOn w:val="Norml"/>
    <w:uiPriority w:val="99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Trgymutat">
    <w:name w:val="Tárgymutató"/>
    <w:basedOn w:val="Norml"/>
    <w:uiPriority w:val="99"/>
    <w:pPr>
      <w:suppressLineNumbers/>
    </w:pPr>
    <w:rPr>
      <w:rFonts w:ascii="Arial" w:hAnsi="Arial"/>
    </w:rPr>
  </w:style>
  <w:style w:type="paragraph" w:styleId="Lbjegyzetszveg">
    <w:name w:val="footnote text"/>
    <w:basedOn w:val="Norml"/>
    <w:link w:val="LbjegyzetszvegChar"/>
    <w:uiPriority w:val="99"/>
    <w:pPr>
      <w:suppressLineNumbers/>
      <w:ind w:left="283" w:hanging="283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4636</Characters>
  <Application>Microsoft Office Word</Application>
  <DocSecurity>0</DocSecurity>
  <Lines>38</Lines>
  <Paragraphs>10</Paragraphs>
  <ScaleCrop>false</ScaleCrop>
  <Company>MMFK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Életige, 2003</dc:title>
  <dc:subject/>
  <dc:creator>FocFSz</dc:creator>
  <cp:keywords/>
  <dc:description/>
  <cp:lastModifiedBy>Sándor Bodnár</cp:lastModifiedBy>
  <cp:revision>2</cp:revision>
  <cp:lastPrinted>2003-02-06T08:09:00Z</cp:lastPrinted>
  <dcterms:created xsi:type="dcterms:W3CDTF">2020-12-19T14:56:00Z</dcterms:created>
  <dcterms:modified xsi:type="dcterms:W3CDTF">2020-12-19T14:56:00Z</dcterms:modified>
</cp:coreProperties>
</file>