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FA7" w14:textId="77777777" w:rsidR="00000000" w:rsidRDefault="007742C6">
      <w:pPr>
        <w:jc w:val="right"/>
        <w:rPr>
          <w:sz w:val="24"/>
          <w:szCs w:val="24"/>
        </w:rPr>
      </w:pPr>
      <w:r>
        <w:rPr>
          <w:sz w:val="24"/>
          <w:szCs w:val="24"/>
        </w:rPr>
        <w:t>Életige, 2011. november</w:t>
      </w:r>
    </w:p>
    <w:p w14:paraId="5AC7B113" w14:textId="77777777" w:rsidR="00000000" w:rsidRDefault="007742C6">
      <w:pPr>
        <w:jc w:val="right"/>
        <w:rPr>
          <w:sz w:val="24"/>
          <w:szCs w:val="24"/>
        </w:rPr>
      </w:pPr>
    </w:p>
    <w:p w14:paraId="39E103B7" w14:textId="77777777" w:rsidR="00000000" w:rsidRDefault="007742C6">
      <w:pPr>
        <w:jc w:val="both"/>
        <w:rPr>
          <w:sz w:val="24"/>
          <w:szCs w:val="24"/>
        </w:rPr>
      </w:pPr>
    </w:p>
    <w:p w14:paraId="085846D8" w14:textId="77777777" w:rsidR="00000000" w:rsidRDefault="007742C6">
      <w:pPr>
        <w:jc w:val="both"/>
      </w:pPr>
      <w:r>
        <w:t>„</w:t>
      </w:r>
      <w:r>
        <w:rPr>
          <w:b/>
          <w:i/>
          <w:sz w:val="24"/>
        </w:rPr>
        <w:t>Legyetek tehát éberek, mert nem tudjátok sem a napot, sem az órát.”</w:t>
      </w:r>
      <w:r>
        <w:t xml:space="preserve"> </w:t>
      </w:r>
      <w:r>
        <w:rPr>
          <w:b/>
          <w:sz w:val="24"/>
        </w:rPr>
        <w:t>(Mt 25,13)</w:t>
      </w:r>
      <w:r w:rsidRPr="007742C6">
        <w:rPr>
          <w:rStyle w:val="Lbjegyzet-hivatkozs"/>
        </w:rPr>
        <w:footnoteReference w:id="1"/>
      </w:r>
    </w:p>
    <w:p w14:paraId="3DA28B42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1FC5450F" w14:textId="77777777" w:rsidR="00000000" w:rsidRDefault="007742C6">
      <w:pPr>
        <w:ind w:firstLine="426"/>
        <w:jc w:val="both"/>
      </w:pPr>
      <w:r>
        <w:rPr>
          <w:sz w:val="24"/>
        </w:rPr>
        <w:t>Egy alkalommal, amikor Jézus kilé</w:t>
      </w:r>
      <w:r>
        <w:rPr>
          <w:sz w:val="24"/>
        </w:rPr>
        <w:t>pett a templomból, a tanítványok büszkén hívták fel figyelmét a gyönyörű, impozáns épületre. Jézus így válaszolt: „Látjátok ezeket? Bizony mondom nektek, nem marad itt kő kövön, amit le ne rombolnának.”</w:t>
      </w:r>
      <w:r w:rsidRPr="007742C6">
        <w:rPr>
          <w:rStyle w:val="Lbjegyzet-hivatkozs"/>
        </w:rPr>
        <w:footnoteReference w:id="2"/>
      </w:r>
      <w:r>
        <w:rPr>
          <w:sz w:val="24"/>
          <w:szCs w:val="24"/>
        </w:rPr>
        <w:t xml:space="preserve"> Aztán fölment az Olajfák hegyére, leült, é</w:t>
      </w:r>
      <w:r>
        <w:rPr>
          <w:sz w:val="24"/>
          <w:szCs w:val="24"/>
        </w:rPr>
        <w:t>s miközben Jeruzsálem látképét szemlélte, a város lerombolásáról és a világ végéről kezdett beszélni.</w:t>
      </w:r>
    </w:p>
    <w:p w14:paraId="6DF7215F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Hogyan és mikor fog bekövetkezni a világ vége? – kérdezték tőle a tanítványok. Olyan kérdés ez, amelyet az utána következő keresztény nemzedékek mind fölt</w:t>
      </w:r>
      <w:r>
        <w:rPr>
          <w:sz w:val="24"/>
          <w:szCs w:val="24"/>
        </w:rPr>
        <w:t>ettek maguknak; sőt minden embert foglalkoztat. A jövő ugyanis titokzatos és gyakran félelemmel tölt el. Ma is vannak, akik horoszkópokat olvasnak vagy jósokhoz fordulnak, hogy megtudják, mit hoz a jövő, mire számíthatnak…</w:t>
      </w:r>
    </w:p>
    <w:p w14:paraId="3CC819F2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Jézus válasza világos: az idők vé</w:t>
      </w:r>
      <w:r>
        <w:rPr>
          <w:sz w:val="24"/>
          <w:szCs w:val="24"/>
        </w:rPr>
        <w:t>gezete egybeesik eljövetelével. Ő, aki a történelem Ura, vissza fog térni: Ő jövőnk ragyogó végpontja.</w:t>
      </w:r>
    </w:p>
    <w:p w14:paraId="63982A0F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És mikor fog bekövetkezni ez a találkozás? Senki sem tudja, bármelyik pillanatban megtörténhet. Életünk ugyanis Jézus kezében van, Tőle kaptuk és bármiko</w:t>
      </w:r>
      <w:r>
        <w:rPr>
          <w:sz w:val="24"/>
          <w:szCs w:val="24"/>
        </w:rPr>
        <w:t>r visszaveheti, akár váratlanul, anélkül hogy jelezné. Ezért figyelmeztet: van egy mód, hogy készen álljunk majd arra az eseményre, éspedig az, ha virrasztunk.</w:t>
      </w:r>
    </w:p>
    <w:p w14:paraId="5F9276C9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10E3E818" w14:textId="77777777" w:rsidR="00000000" w:rsidRDefault="007742C6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„Legyetek tehát éberek, mert nem tudjátok sem a napot, sem az órát.”</w:t>
      </w:r>
    </w:p>
    <w:p w14:paraId="124BA9DA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7BBFCE75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Ezekkel a szavakkal Jézus</w:t>
      </w:r>
      <w:r>
        <w:rPr>
          <w:sz w:val="24"/>
          <w:szCs w:val="24"/>
        </w:rPr>
        <w:t xml:space="preserve"> mindenekelőtt arra emlékeztet, hogy el fog jönni. Földi életünk véget ér, és egy új élet kezdődik, amelynek soha nem lesz vége. Ma senki sem akar beszélni a halálról… Néha mindent megteszünk azért, hogy eltereljük róla a figyelmet. Úgy belemerülünk a napi</w:t>
      </w:r>
      <w:r>
        <w:rPr>
          <w:sz w:val="24"/>
          <w:szCs w:val="24"/>
        </w:rPr>
        <w:t xml:space="preserve"> elfoglaltságokba, hogy elfelejtjük Őt, aki adja, és aki vissza fogja venni az életet, hogy bevezethessen annak teljességébe, az Atyával való életközösségbe, a Mennyországba.</w:t>
      </w:r>
    </w:p>
    <w:p w14:paraId="08605C89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Készek leszünk rá, hogy találkozzunk vele? Égni fog a tűz lámpásunkban, mint az o</w:t>
      </w:r>
      <w:r>
        <w:rPr>
          <w:sz w:val="24"/>
          <w:szCs w:val="24"/>
        </w:rPr>
        <w:t>kos szüzekében, akik várták a vőlegényt? Más szóval: szeretetben leszünk akkor? Vagy ki fog aludni a lámpás, mert elragad a sok tennivaló, a sok kis múló öröm vagy a birtoklásvágy, és közben megfeledkezünk arról, ami egyedül fontos: hogy szeressünk?</w:t>
      </w:r>
    </w:p>
    <w:p w14:paraId="73CABB53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43814AE6" w14:textId="77777777" w:rsidR="00000000" w:rsidRDefault="007742C6">
      <w:pPr>
        <w:ind w:firstLine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„Legy</w:t>
      </w:r>
      <w:r>
        <w:rPr>
          <w:b/>
          <w:bCs/>
          <w:i/>
          <w:iCs/>
          <w:sz w:val="24"/>
          <w:szCs w:val="24"/>
        </w:rPr>
        <w:t>etek tehát éberek, mert nem tudjátok sem a napot, sem az órát.”</w:t>
      </w:r>
    </w:p>
    <w:p w14:paraId="52233B2F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2CA26DEA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De hogyan virrasszunk? Tudjuk, hogy az virraszt jól, aki szeret. Tudja ezt a feleség, aki a férjét várja, hogy hazatérjen a túlóra vagy a messzi út után; tudja az édesanya, aki reszket gyerme</w:t>
      </w:r>
      <w:r>
        <w:rPr>
          <w:sz w:val="24"/>
          <w:szCs w:val="24"/>
        </w:rPr>
        <w:t>kéért, mert még mindig nem érkezett haza; tudja a szerelmes ifjú, aki alig várja, hogy újra láthassa kedvesét… Aki szeret, tud várni akkor is, amikor a másik késik.</w:t>
      </w:r>
    </w:p>
    <w:p w14:paraId="6E5F7CCD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Akkor várjuk Jézust, ha szeretjük Őt, és izzik bennünk a vágy, hogy találkozzunk vele.</w:t>
      </w:r>
    </w:p>
    <w:p w14:paraId="6043B9A9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És a</w:t>
      </w:r>
      <w:r>
        <w:rPr>
          <w:sz w:val="24"/>
          <w:szCs w:val="24"/>
        </w:rPr>
        <w:t>zzal is várjuk, ha tényleg szeretünk: ha őt szolgáljuk épp azokban, akik közel állnak hozzánk; vagy ha elköteleződünk egy igazabb társadalom építésében. Maga Jézus hív meg, hogy így éljünk, amikor elmeséli a hű szolgáról szóló példabeszédet, aki a ház urán</w:t>
      </w:r>
      <w:r>
        <w:rPr>
          <w:sz w:val="24"/>
          <w:szCs w:val="24"/>
        </w:rPr>
        <w:t>ak visszatérésére várva törődik a többi szolgával és a ház ügyeivel; vagy amikor azokról a szolgákról beszél, akik gondoskodnak a talentumok kamatoztatásáról.</w:t>
      </w:r>
    </w:p>
    <w:p w14:paraId="21366588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3EE1E3C7" w14:textId="77777777" w:rsidR="00000000" w:rsidRDefault="007742C6">
      <w:pPr>
        <w:ind w:firstLine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„Legyetek tehát éberek, mert nem tudjátok sem a napot, sem az órát.”</w:t>
      </w:r>
    </w:p>
    <w:p w14:paraId="7AEC2D2B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518DCFB1" w14:textId="77777777" w:rsidR="00000000" w:rsidRDefault="007742C6">
      <w:pPr>
        <w:pStyle w:val="Szvegtrzs2"/>
      </w:pPr>
      <w:r>
        <w:t>Épp mert nem ismerjük eljö</w:t>
      </w:r>
      <w:r>
        <w:t>vetelének sem a napját, sem az óráját, még könnyebben tudunk összpontosítani a mai napra, amely megadatott nekünk, a napi tennivalókra, arra a jelen pillanatra, melyet a Gondviselés jóvoltából átélhetünk.</w:t>
      </w:r>
    </w:p>
    <w:p w14:paraId="4865A9EB" w14:textId="77777777" w:rsidR="00000000" w:rsidRDefault="007742C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Évekkel ezelőtt önkéntelenül egy imával fordultam I</w:t>
      </w:r>
      <w:r>
        <w:rPr>
          <w:sz w:val="24"/>
          <w:szCs w:val="24"/>
        </w:rPr>
        <w:t>stenhez. Ezt szeretném most felidézni:</w:t>
      </w:r>
    </w:p>
    <w:p w14:paraId="7F34766E" w14:textId="77777777" w:rsidR="00000000" w:rsidRDefault="007742C6">
      <w:pPr>
        <w:ind w:firstLine="426"/>
        <w:jc w:val="both"/>
        <w:rPr>
          <w:sz w:val="24"/>
          <w:szCs w:val="24"/>
        </w:rPr>
      </w:pPr>
    </w:p>
    <w:p w14:paraId="1AB066E7" w14:textId="77777777" w:rsidR="00000000" w:rsidRDefault="007742C6">
      <w:pPr>
        <w:jc w:val="center"/>
        <w:rPr>
          <w:sz w:val="24"/>
          <w:szCs w:val="24"/>
        </w:rPr>
      </w:pPr>
      <w:r>
        <w:rPr>
          <w:sz w:val="24"/>
          <w:szCs w:val="24"/>
        </w:rPr>
        <w:t>„Jézus,</w:t>
      </w:r>
      <w:r>
        <w:rPr>
          <w:sz w:val="24"/>
          <w:szCs w:val="24"/>
        </w:rPr>
        <w:br/>
        <w:t>add, hogy úgy szóljak mindig,</w:t>
      </w:r>
      <w:r>
        <w:rPr>
          <w:sz w:val="24"/>
          <w:szCs w:val="24"/>
        </w:rPr>
        <w:br/>
        <w:t>mintha ez lenne az utolsó szavam,</w:t>
      </w:r>
      <w:r>
        <w:rPr>
          <w:sz w:val="24"/>
          <w:szCs w:val="24"/>
        </w:rPr>
        <w:br/>
        <w:t>amelyet kimondok!</w:t>
      </w:r>
    </w:p>
    <w:p w14:paraId="7C687904" w14:textId="77777777" w:rsidR="00000000" w:rsidRDefault="007742C6">
      <w:pPr>
        <w:jc w:val="center"/>
        <w:rPr>
          <w:sz w:val="24"/>
          <w:szCs w:val="24"/>
        </w:rPr>
      </w:pPr>
      <w:r>
        <w:rPr>
          <w:sz w:val="24"/>
          <w:szCs w:val="24"/>
        </w:rPr>
        <w:t>Add, hogy úgy cselekedjek mindig,</w:t>
      </w:r>
      <w:r>
        <w:rPr>
          <w:sz w:val="24"/>
          <w:szCs w:val="24"/>
        </w:rPr>
        <w:br/>
        <w:t>mintha ez lenne az utolsó tettem,</w:t>
      </w:r>
      <w:r>
        <w:rPr>
          <w:sz w:val="24"/>
          <w:szCs w:val="24"/>
        </w:rPr>
        <w:br/>
        <w:t>amelyet végbeviszek!</w:t>
      </w:r>
    </w:p>
    <w:p w14:paraId="4EF78B22" w14:textId="77777777" w:rsidR="00000000" w:rsidRDefault="007742C6">
      <w:pPr>
        <w:jc w:val="center"/>
        <w:rPr>
          <w:sz w:val="24"/>
          <w:szCs w:val="24"/>
        </w:rPr>
      </w:pPr>
      <w:r>
        <w:rPr>
          <w:sz w:val="24"/>
          <w:szCs w:val="24"/>
        </w:rPr>
        <w:t>Add, hogy tudjak ú</w:t>
      </w:r>
      <w:r>
        <w:rPr>
          <w:sz w:val="24"/>
          <w:szCs w:val="24"/>
        </w:rPr>
        <w:t>gy szenvedni mindig,</w:t>
      </w:r>
      <w:r>
        <w:rPr>
          <w:sz w:val="24"/>
          <w:szCs w:val="24"/>
        </w:rPr>
        <w:br/>
        <w:t>mintha ez lenne az utolsó gyötrelmem,</w:t>
      </w:r>
      <w:r>
        <w:rPr>
          <w:sz w:val="24"/>
          <w:szCs w:val="24"/>
        </w:rPr>
        <w:br/>
        <w:t>amelyet felajánlhatok Neked!</w:t>
      </w:r>
    </w:p>
    <w:p w14:paraId="09A17AC9" w14:textId="77777777" w:rsidR="00000000" w:rsidRDefault="007742C6">
      <w:pPr>
        <w:jc w:val="center"/>
        <w:rPr>
          <w:sz w:val="24"/>
          <w:szCs w:val="24"/>
        </w:rPr>
      </w:pPr>
      <w:r>
        <w:rPr>
          <w:sz w:val="24"/>
          <w:szCs w:val="24"/>
        </w:rPr>
        <w:t>Add, hogy úgy imádkozzak mindig,</w:t>
      </w:r>
      <w:r>
        <w:rPr>
          <w:sz w:val="24"/>
          <w:szCs w:val="24"/>
        </w:rPr>
        <w:br/>
        <w:t>mintha ez lenne az utolsó</w:t>
      </w:r>
      <w:r>
        <w:rPr>
          <w:sz w:val="24"/>
          <w:szCs w:val="24"/>
        </w:rPr>
        <w:br/>
        <w:t>lehetőségem</w:t>
      </w:r>
      <w:r>
        <w:rPr>
          <w:sz w:val="24"/>
          <w:szCs w:val="24"/>
        </w:rPr>
        <w:br/>
        <w:t>itt a földön,</w:t>
      </w:r>
      <w:r>
        <w:rPr>
          <w:sz w:val="24"/>
          <w:szCs w:val="24"/>
        </w:rPr>
        <w:br/>
        <w:t>hogy beszélgessek Veled!”</w:t>
      </w:r>
    </w:p>
    <w:p w14:paraId="12F025EC" w14:textId="77777777" w:rsidR="00000000" w:rsidRDefault="007742C6">
      <w:pPr>
        <w:jc w:val="center"/>
        <w:rPr>
          <w:sz w:val="24"/>
          <w:szCs w:val="24"/>
        </w:rPr>
      </w:pPr>
    </w:p>
    <w:p w14:paraId="21EB8B5B" w14:textId="77777777" w:rsidR="00000000" w:rsidRDefault="007742C6">
      <w:pPr>
        <w:jc w:val="center"/>
        <w:rPr>
          <w:sz w:val="24"/>
          <w:szCs w:val="24"/>
        </w:rPr>
      </w:pPr>
    </w:p>
    <w:p w14:paraId="644DD382" w14:textId="77777777" w:rsidR="00000000" w:rsidRDefault="007742C6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325D" w14:textId="77777777" w:rsidR="00000000" w:rsidRDefault="007742C6">
      <w:r>
        <w:separator/>
      </w:r>
    </w:p>
  </w:endnote>
  <w:endnote w:type="continuationSeparator" w:id="0">
    <w:p w14:paraId="64139B97" w14:textId="77777777" w:rsidR="00000000" w:rsidRDefault="0077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1DF0" w14:textId="77777777" w:rsidR="00000000" w:rsidRDefault="007742C6">
      <w:r>
        <w:separator/>
      </w:r>
    </w:p>
  </w:footnote>
  <w:footnote w:type="continuationSeparator" w:id="0">
    <w:p w14:paraId="2D63F9CD" w14:textId="77777777" w:rsidR="00000000" w:rsidRDefault="007742C6">
      <w:r>
        <w:continuationSeparator/>
      </w:r>
    </w:p>
  </w:footnote>
  <w:footnote w:id="1">
    <w:p w14:paraId="7ECF5F3A" w14:textId="77777777" w:rsidR="00000000" w:rsidRDefault="007742C6">
      <w:pPr>
        <w:pStyle w:val="Lbjegyzetszveg"/>
        <w:ind w:left="0" w:firstLine="0"/>
        <w:rPr>
          <w:sz w:val="24"/>
          <w:szCs w:val="24"/>
          <w:lang w:bidi="ar-SA"/>
        </w:rPr>
      </w:pPr>
      <w:r w:rsidRPr="007742C6">
        <w:rPr>
          <w:rStyle w:val="Lbjegyzet-hivatkozs"/>
        </w:rPr>
        <w:footnoteRef/>
      </w:r>
      <w:r>
        <w:rPr>
          <w:sz w:val="24"/>
          <w:szCs w:val="24"/>
          <w:lang w:bidi="ar-SA"/>
        </w:rPr>
        <w:t xml:space="preserve"> </w:t>
      </w:r>
      <w:r>
        <w:rPr>
          <w:szCs w:val="24"/>
          <w:lang w:bidi="ar-SA"/>
        </w:rPr>
        <w:t xml:space="preserve">Az Élet igéje, 2002. november. Megjelent: </w:t>
      </w:r>
      <w:r>
        <w:rPr>
          <w:i/>
          <w:szCs w:val="24"/>
          <w:lang w:bidi="ar-SA"/>
        </w:rPr>
        <w:t xml:space="preserve">Új Város </w:t>
      </w:r>
      <w:r>
        <w:rPr>
          <w:szCs w:val="24"/>
          <w:lang w:bidi="ar-SA"/>
        </w:rPr>
        <w:t>2002/11</w:t>
      </w:r>
    </w:p>
  </w:footnote>
  <w:footnote w:id="2">
    <w:p w14:paraId="74853A90" w14:textId="77777777" w:rsidR="00000000" w:rsidRDefault="007742C6">
      <w:pPr>
        <w:pStyle w:val="Lbjegyzetszveg"/>
        <w:ind w:left="0" w:firstLine="0"/>
        <w:rPr>
          <w:sz w:val="24"/>
          <w:szCs w:val="24"/>
          <w:lang w:bidi="ar-SA"/>
        </w:rPr>
      </w:pPr>
      <w:r w:rsidRPr="007742C6">
        <w:rPr>
          <w:rStyle w:val="Lbjegyzet-hivatkozs"/>
        </w:rPr>
        <w:footnoteRef/>
      </w:r>
      <w:r>
        <w:rPr>
          <w:sz w:val="24"/>
          <w:szCs w:val="24"/>
          <w:lang w:bidi="ar-SA"/>
        </w:rPr>
        <w:t xml:space="preserve"> </w:t>
      </w:r>
      <w:r>
        <w:rPr>
          <w:szCs w:val="24"/>
          <w:lang w:bidi="ar-SA"/>
        </w:rPr>
        <w:t>Mt 24,2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42C6"/>
    <w:rsid w:val="007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38BC4"/>
  <w14:defaultImageDpi w14:val="0"/>
  <w15:docId w15:val="{DE7E44A6-FC27-43CB-AF36-A6F0ABD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Cmsor1">
    <w:name w:val="heading 1"/>
    <w:basedOn w:val="Norml"/>
    <w:next w:val="Norml"/>
    <w:link w:val="Cmsor1Char"/>
    <w:uiPriority w:val="99"/>
    <w:qFormat/>
    <w:pPr>
      <w:ind w:left="1728" w:right="567" w:hanging="432"/>
      <w:outlineLvl w:val="0"/>
    </w:p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Lista">
    <w:name w:val="List"/>
    <w:basedOn w:val="Szvegtrzs"/>
    <w:uiPriority w:val="99"/>
  </w:style>
  <w:style w:type="paragraph" w:styleId="Kpalrs">
    <w:name w:val="caption"/>
    <w:basedOn w:val="Norml"/>
    <w:uiPriority w:val="99"/>
    <w:qFormat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l"/>
    <w:uiPriority w:val="99"/>
    <w:rPr>
      <w:rFonts w:ascii="Arial" w:hAnsi="Arial"/>
    </w:rPr>
  </w:style>
  <w:style w:type="paragraph" w:customStyle="1" w:styleId="Heading1">
    <w:name w:val="Heading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Index1">
    <w:name w:val="Index1"/>
    <w:basedOn w:val="Norml"/>
    <w:uiPriority w:val="99"/>
    <w:rPr>
      <w:rFonts w:ascii="Arial" w:hAnsi="Arial" w:cs="Arial"/>
    </w:rPr>
  </w:style>
  <w:style w:type="paragraph" w:customStyle="1" w:styleId="WW-Heading">
    <w:name w:val="WW-Heading"/>
    <w:basedOn w:val="Norml"/>
    <w:next w:val="Szvegtrzs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"/>
    <w:uiPriority w:val="99"/>
  </w:style>
  <w:style w:type="paragraph" w:customStyle="1" w:styleId="WW-Heading1">
    <w:name w:val="WW-Heading1"/>
    <w:basedOn w:val="Norml"/>
    <w:next w:val="Szvegtrzs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l"/>
    <w:uiPriority w:val="99"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styleId="Szvegtrzs2">
    <w:name w:val="Body Text 2"/>
    <w:basedOn w:val="Norml"/>
    <w:link w:val="Szvegtrzs2Char"/>
    <w:uiPriority w:val="99"/>
    <w:pPr>
      <w:ind w:firstLine="426"/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Lbjegyzetszveg">
    <w:name w:val="footnote text"/>
    <w:basedOn w:val="Norml"/>
    <w:link w:val="LbjegyzetszvegChar"/>
    <w:uiPriority w:val="99"/>
    <w:pPr>
      <w:ind w:left="283" w:hanging="283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Buborkszveg">
    <w:name w:val="Balloon Text"/>
    <w:basedOn w:val="Norml"/>
    <w:link w:val="BuborkszvegChar"/>
    <w:uiPriority w:val="99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Mangal"/>
      <w:sz w:val="18"/>
      <w:szCs w:val="16"/>
      <w:lang w:bidi="hi-IN"/>
    </w:rPr>
  </w:style>
  <w:style w:type="paragraph" w:customStyle="1" w:styleId="WW-footnotetext">
    <w:name w:val="WW-footnote text"/>
    <w:basedOn w:val="Norml"/>
    <w:uiPriority w:val="99"/>
    <w:pPr>
      <w:ind w:left="283" w:hanging="283"/>
    </w:pPr>
  </w:style>
  <w:style w:type="paragraph" w:customStyle="1" w:styleId="WW-footnotetext1">
    <w:name w:val="WW-footnote text1"/>
    <w:basedOn w:val="Norml"/>
    <w:uiPriority w:val="99"/>
    <w:pPr>
      <w:ind w:left="283" w:hanging="283"/>
    </w:pPr>
  </w:style>
  <w:style w:type="paragraph" w:customStyle="1" w:styleId="WW-footnotetext12">
    <w:name w:val="WW-footnote text12"/>
    <w:basedOn w:val="Norml"/>
    <w:uiPriority w:val="99"/>
    <w:pPr>
      <w:ind w:left="283" w:hanging="283"/>
    </w:pPr>
  </w:style>
  <w:style w:type="character" w:customStyle="1" w:styleId="Csor1Char">
    <w:name w:val="C匇sor 1 Char"/>
    <w:basedOn w:val="Bekezdsalapbettpusa"/>
    <w:uiPriority w:val="99"/>
    <w:rPr>
      <w:rFonts w:ascii="Cambria" w:hAnsi="Cambria" w:cs="Cambria"/>
      <w:b/>
      <w:bCs/>
      <w:sz w:val="32"/>
      <w:szCs w:val="32"/>
      <w:lang w:bidi="hi-IN"/>
    </w:rPr>
  </w:style>
  <w:style w:type="character" w:customStyle="1" w:styleId="Szegtzs2Char">
    <w:name w:val="Szegtzs 2 Char"/>
    <w:basedOn w:val="Bekezdsalapbettpusa"/>
    <w:uiPriority w:val="99"/>
    <w:rPr>
      <w:sz w:val="20"/>
      <w:szCs w:val="20"/>
      <w:lang w:bidi="hi-IN"/>
    </w:rPr>
  </w:style>
  <w:style w:type="character" w:customStyle="1" w:styleId="LjegyzetszegChar">
    <w:name w:val="L畸jegyzetszeg Char"/>
    <w:basedOn w:val="Bekezdsalapbettpusa"/>
    <w:uiPriority w:val="99"/>
    <w:rPr>
      <w:sz w:val="20"/>
      <w:szCs w:val="20"/>
      <w:lang w:bidi="hi-IN"/>
    </w:rPr>
  </w:style>
  <w:style w:type="character" w:styleId="Lbjegyzet-hivatkozs">
    <w:name w:val="footnote reference"/>
    <w:basedOn w:val="Bekezdsalapbettpusa"/>
    <w:uiPriority w:val="99"/>
    <w:rPr>
      <w:position w:val="6"/>
      <w:lang w:bidi="hi-IN"/>
    </w:rPr>
  </w:style>
  <w:style w:type="character" w:customStyle="1" w:styleId="BuborszegChar">
    <w:name w:val="Bubor駝szeg Char"/>
    <w:basedOn w:val="Bekezdsalapbettpusa"/>
    <w:uiPriority w:val="99"/>
    <w:rPr>
      <w:rFonts w:ascii="Tahoma" w:eastAsia="Times New Roman" w:hAnsi="Tahoma" w:cs="Tahoma"/>
      <w:sz w:val="16"/>
      <w:szCs w:val="16"/>
      <w:lang w:bidi="hi-IN"/>
    </w:rPr>
  </w:style>
  <w:style w:type="character" w:customStyle="1" w:styleId="FootnoteSymbol">
    <w:name w:val="Footnote Symbol"/>
    <w:uiPriority w:val="99"/>
    <w:rPr>
      <w:lang w:bidi="hi-IN"/>
    </w:rPr>
  </w:style>
  <w:style w:type="character" w:customStyle="1" w:styleId="Footnoteanchor">
    <w:name w:val="Footnote anchor"/>
    <w:uiPriority w:val="99"/>
    <w:rPr>
      <w:lang w:bidi="hi-IN"/>
    </w:rPr>
  </w:style>
  <w:style w:type="character" w:customStyle="1" w:styleId="WW-FootnoteSymbol">
    <w:name w:val="WW-Footnote Symbol"/>
    <w:uiPriority w:val="99"/>
    <w:rPr>
      <w:rFonts w:eastAsia="Times New Roman"/>
      <w:lang w:eastAsia="zh-CN" w:bidi="hi-IN"/>
    </w:rPr>
  </w:style>
  <w:style w:type="character" w:customStyle="1" w:styleId="WW-Footnoteanchor">
    <w:name w:val="WW-Footnote anchor"/>
    <w:uiPriority w:val="99"/>
    <w:rPr>
      <w:rFonts w:eastAsia="Times New Roman"/>
      <w:lang w:eastAsia="zh-CN" w:bidi="hi-IN"/>
    </w:rPr>
  </w:style>
  <w:style w:type="character" w:customStyle="1" w:styleId="WW-FootnoteSymbol1">
    <w:name w:val="WW-Footnote Symbol1"/>
    <w:uiPriority w:val="99"/>
    <w:rPr>
      <w:lang w:eastAsia="zh-CN" w:bidi="hi-IN"/>
    </w:rPr>
  </w:style>
  <w:style w:type="character" w:customStyle="1" w:styleId="WW-Footnoteanchor1">
    <w:name w:val="WW-Footnote anchor1"/>
    <w:uiPriority w:val="99"/>
    <w:rPr>
      <w:position w:val="2"/>
      <w:lang w:eastAsia="zh-CN" w:bidi="hi-IN"/>
    </w:rPr>
  </w:style>
  <w:style w:type="character" w:customStyle="1" w:styleId="FootnoteSymbol1">
    <w:name w:val="Footnote Symbol1"/>
    <w:uiPriority w:val="99"/>
    <w:rPr>
      <w:rFonts w:eastAsia="Times New Roman"/>
      <w:lang w:eastAsia="zh-CN" w:bidi="hi-IN"/>
    </w:rPr>
  </w:style>
  <w:style w:type="character" w:customStyle="1" w:styleId="Footnoteanchor1">
    <w:name w:val="Footnote anchor1"/>
    <w:uiPriority w:val="99"/>
    <w:rPr>
      <w:rFonts w:eastAsia="Times New Roman"/>
      <w:position w:val="10"/>
      <w:lang w:eastAsia="zh-CN" w:bidi="hi-IN"/>
    </w:rPr>
  </w:style>
  <w:style w:type="character" w:styleId="Vgjegyzet-hivatkozs">
    <w:name w:val="endnote reference"/>
    <w:basedOn w:val="Bekezdsalapbettpusa"/>
    <w:uiPriority w:val="99"/>
    <w:semiHidden/>
    <w:unhideWhenUsed/>
    <w:rsid w:val="00774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ﾉletige, 2002 november</dc:title>
  <dc:subject/>
  <dc:creator>Judit</dc:creator>
  <cp:keywords/>
  <dc:description/>
  <cp:lastModifiedBy>Sándor Bodnár</cp:lastModifiedBy>
  <cp:revision>2</cp:revision>
  <dcterms:created xsi:type="dcterms:W3CDTF">2021-06-22T07:44:00Z</dcterms:created>
  <dcterms:modified xsi:type="dcterms:W3CDTF">2021-06-22T07:44:00Z</dcterms:modified>
</cp:coreProperties>
</file>