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6FF0" w14:textId="77777777" w:rsidR="00000000" w:rsidRDefault="0091247B">
      <w:pPr>
        <w:pStyle w:val="Cmsor1"/>
        <w:jc w:val="right"/>
        <w:rPr>
          <w:sz w:val="24"/>
        </w:rPr>
      </w:pPr>
      <w:r>
        <w:rPr>
          <w:sz w:val="24"/>
        </w:rPr>
        <w:t>Az Élet Igéje, 2011. április</w:t>
      </w:r>
    </w:p>
    <w:p w14:paraId="4128212E" w14:textId="77777777" w:rsidR="00000000" w:rsidRDefault="0091247B">
      <w:pPr>
        <w:jc w:val="right"/>
        <w:rPr>
          <w:sz w:val="24"/>
          <w:szCs w:val="24"/>
        </w:rPr>
      </w:pPr>
    </w:p>
    <w:p w14:paraId="3B8DB721" w14:textId="77777777" w:rsidR="00000000" w:rsidRDefault="0091247B">
      <w:pPr>
        <w:jc w:val="right"/>
        <w:rPr>
          <w:sz w:val="24"/>
          <w:szCs w:val="24"/>
        </w:rPr>
      </w:pPr>
    </w:p>
    <w:p w14:paraId="46B74986" w14:textId="77777777" w:rsidR="00000000" w:rsidRDefault="0091247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 Ne az legyen, amit én akarok, hanem amit te!” (Mk 14,36)</w:t>
      </w:r>
      <w:r w:rsidRPr="0091247B">
        <w:rPr>
          <w:rStyle w:val="Lbjegyzet-hivatkozs"/>
        </w:rPr>
        <w:footnoteReference w:id="1"/>
      </w:r>
    </w:p>
    <w:p w14:paraId="008C8009" w14:textId="77777777" w:rsidR="00000000" w:rsidRDefault="0091247B">
      <w:pPr>
        <w:jc w:val="both"/>
        <w:rPr>
          <w:b/>
          <w:bCs/>
          <w:i/>
          <w:iCs/>
          <w:sz w:val="24"/>
          <w:szCs w:val="24"/>
        </w:rPr>
      </w:pPr>
    </w:p>
    <w:p w14:paraId="29189164" w14:textId="77777777" w:rsidR="00000000" w:rsidRDefault="0091247B">
      <w:pPr>
        <w:ind w:firstLine="397"/>
        <w:jc w:val="both"/>
      </w:pPr>
      <w:r>
        <w:rPr>
          <w:sz w:val="24"/>
        </w:rPr>
        <w:t>Jézus az Olajfák hegyén volt, a Getszemáni kertben. Elérkezett a várva-várt ó</w:t>
      </w:r>
      <w:r>
        <w:rPr>
          <w:sz w:val="24"/>
        </w:rPr>
        <w:t>ra, egész életének kulcspillanata. Földre borult, és bensőséges bizalommal atyjának nevezve Istent, hozzá fohászkodott, hogy ne kelljen „kiinnia a kelyhet”</w:t>
      </w:r>
      <w:r w:rsidRPr="0091247B">
        <w:rPr>
          <w:rStyle w:val="Lbjegyzet-hivatkozs"/>
        </w:rPr>
        <w:footnoteReference w:id="2"/>
      </w:r>
      <w:r>
        <w:rPr>
          <w:sz w:val="24"/>
          <w:szCs w:val="24"/>
        </w:rPr>
        <w:t>, vagyis szenvednie és meghalnia. Azt kérte, hogy múljon el ez az óra, aztán mégis te</w:t>
      </w:r>
      <w:r>
        <w:rPr>
          <w:sz w:val="24"/>
          <w:szCs w:val="24"/>
        </w:rPr>
        <w:t>ljesen az Ő akaratára hagyatkozott:</w:t>
      </w:r>
    </w:p>
    <w:p w14:paraId="2E8E850B" w14:textId="77777777" w:rsidR="00000000" w:rsidRDefault="0091247B">
      <w:pPr>
        <w:jc w:val="both"/>
        <w:rPr>
          <w:sz w:val="24"/>
          <w:szCs w:val="24"/>
        </w:rPr>
      </w:pPr>
    </w:p>
    <w:p w14:paraId="2C92C290" w14:textId="77777777" w:rsidR="00000000" w:rsidRDefault="0091247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„Ne az legyen, amit én akarok, hanem amit te!”</w:t>
      </w:r>
    </w:p>
    <w:p w14:paraId="153EDC0E" w14:textId="77777777" w:rsidR="00000000" w:rsidRDefault="0091247B">
      <w:pPr>
        <w:jc w:val="both"/>
        <w:rPr>
          <w:sz w:val="24"/>
          <w:szCs w:val="24"/>
        </w:rPr>
      </w:pPr>
    </w:p>
    <w:p w14:paraId="278CB6BA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Jézus tudta, hogy szenvedése nem a véletlen műve, és nem egyszerűen emberi döntések következménye, hanem Isten terve. Az emberek ítélik el és utasítják őt vissza, de a „ke</w:t>
      </w:r>
      <w:r>
        <w:rPr>
          <w:sz w:val="24"/>
          <w:szCs w:val="24"/>
        </w:rPr>
        <w:t>hely” Isten kezéből származik.</w:t>
      </w:r>
    </w:p>
    <w:p w14:paraId="5C4AD127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Jézus azt tanítja, hogy az Atyának mindnyájunkról van egy szeretetterve, hogy személyes szeretettel szeret, és ha hiszünk a szeretetében, és válaszolunk rá – ez ugyanis a feltétel –, akkor Ő mindent a javunkra fordít.</w:t>
      </w:r>
    </w:p>
    <w:p w14:paraId="3D46A39E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Jézus é</w:t>
      </w:r>
      <w:r>
        <w:rPr>
          <w:sz w:val="24"/>
          <w:szCs w:val="24"/>
        </w:rPr>
        <w:t>letében semmi nem történt véletlenül, még a szenvedés, még a halál sem. Ezt követte a feltámadása, amit ebben a hónapban ünneplünk.</w:t>
      </w:r>
    </w:p>
    <w:p w14:paraId="59FFA97B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feltámadt Jézus példájának kell fénylenie a mi életünkben is. Mindent, ami bekövetkezik, ami történik, vagy ami körülvesz </w:t>
      </w:r>
      <w:r>
        <w:rPr>
          <w:sz w:val="24"/>
          <w:szCs w:val="24"/>
        </w:rPr>
        <w:t>bennünket, ami fájdalommal tölt el, úgy kell látnunk, mint a szerető Isten akaratát, vagy mint amit Ő megenged, mert azzal is szeret bennünket. Így minden értelmet nyer. Felfedezzük, hogy minden végtelenül hasznos: az is, ami érthetetlennek, ami képtelensé</w:t>
      </w:r>
      <w:r>
        <w:rPr>
          <w:sz w:val="24"/>
          <w:szCs w:val="24"/>
        </w:rPr>
        <w:t>gnek tűnik az adott pillanatban, sőt az is, ami olyan halálos aggodalommal tölt el, mint amit Jézus élt át. Elég, ha az Atya szeretetébe vetett teljes bizalommal ismételjük Vele együtt:</w:t>
      </w:r>
    </w:p>
    <w:p w14:paraId="4015BFA8" w14:textId="77777777" w:rsidR="00000000" w:rsidRDefault="0091247B">
      <w:pPr>
        <w:jc w:val="both"/>
        <w:rPr>
          <w:sz w:val="24"/>
          <w:szCs w:val="24"/>
        </w:rPr>
      </w:pPr>
    </w:p>
    <w:p w14:paraId="1D66600F" w14:textId="77777777" w:rsidR="00000000" w:rsidRDefault="0091247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„Ne az legyen, amit én akarok, hanem amit te!”</w:t>
      </w:r>
    </w:p>
    <w:p w14:paraId="7B7FD29F" w14:textId="77777777" w:rsidR="00000000" w:rsidRDefault="0091247B">
      <w:pPr>
        <w:jc w:val="both"/>
        <w:rPr>
          <w:sz w:val="24"/>
          <w:szCs w:val="24"/>
        </w:rPr>
      </w:pPr>
    </w:p>
    <w:p w14:paraId="71C02049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Az Ő akarata az, hog</w:t>
      </w:r>
      <w:r>
        <w:rPr>
          <w:sz w:val="24"/>
          <w:szCs w:val="24"/>
        </w:rPr>
        <w:t>y éljünk, hogy örömmel adjunk hálát neki az élet ajándékaiért. Nem úgy van, mint ahogy sokszor mi gondoljuk: nem rendelkezés, hogy bele kelljen törődnünk, bármennyire fájdalmas is, és nem életünk monoton cselekedeteinek elszórt ismétlődése.</w:t>
      </w:r>
    </w:p>
    <w:p w14:paraId="72A37A8A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Isten akarata a</w:t>
      </w:r>
      <w:r>
        <w:rPr>
          <w:sz w:val="24"/>
          <w:szCs w:val="24"/>
        </w:rPr>
        <w:t>z a hang, amely folyton megszólít és hív; az a mód, ahogyan Isten kifejezi szeretetét, hogy nekünk adja az Élet teljességét.</w:t>
      </w:r>
    </w:p>
    <w:p w14:paraId="04A1013D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Leginkább a Naphoz lehet hasonlítani: sugarai az Ő akarata, velük szól mindnyájunkhoz. Mindenki a saját sugarán halad, amely különb</w:t>
      </w:r>
      <w:r>
        <w:rPr>
          <w:sz w:val="24"/>
          <w:szCs w:val="24"/>
        </w:rPr>
        <w:t xml:space="preserve">özik a mellette lévő sugártól, de mindegyik a Nap sugara, Isten akarata. Mindannyian egyetlen akaratot teszünk, Istenét, de ez mindenki számára különböző. Azután a sugarak minél közelebb kerülnek a Naphoz, annál közelebb kerülnek egymáshoz. Minél közelebb </w:t>
      </w:r>
      <w:r>
        <w:rPr>
          <w:sz w:val="24"/>
          <w:szCs w:val="24"/>
        </w:rPr>
        <w:t>jutunk Istenhez azzal, hogy egyre tökéletesebben tesszük isteni akaratát, annál közelebb jutunk egymáshoz is, amíg végül mindnyájan egy leszünk.</w:t>
      </w:r>
    </w:p>
    <w:p w14:paraId="2FB93370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így élünk, akkor életünkben minden megváltozhat. Ahelyett, hogy csak azok felé fordulnánk szeretettel, akik </w:t>
      </w:r>
      <w:r>
        <w:rPr>
          <w:sz w:val="24"/>
          <w:szCs w:val="24"/>
        </w:rPr>
        <w:t>rokonszenvesek, képesek leszünk odalépni mindenkihez, akit Isten akarata mellénk állít. Ahelyett, hogy a számunkra kedves dolgokat keresnénk, tudni fogjuk azt választani, amit Isten sugall nekünk. Ha megpróbálunk ráfeszülni az isteni akaratra, ami az adott</w:t>
      </w:r>
      <w:r>
        <w:rPr>
          <w:sz w:val="24"/>
          <w:szCs w:val="24"/>
        </w:rPr>
        <w:t xml:space="preserve"> pillanatra vonatkozik („amit te akarsz”), el tudunk majd mindentől szakadni, még </w:t>
      </w:r>
      <w:r>
        <w:rPr>
          <w:sz w:val="24"/>
          <w:szCs w:val="24"/>
        </w:rPr>
        <w:lastRenderedPageBreak/>
        <w:t>önmagunktól is („ne az legyen, amit én akarok”). Így teszünk majd, annak ellenére, hogy nem az elszakadást keressük, hanem egyedül Istent; örömünk pedig teljes lesz. Elég, ha</w:t>
      </w:r>
      <w:r>
        <w:rPr>
          <w:sz w:val="24"/>
          <w:szCs w:val="24"/>
        </w:rPr>
        <w:t xml:space="preserve"> belemerülünk az adott pillanatba, és teljesítjük az Ő akaratát a jelenben ezt ismételgetve:</w:t>
      </w:r>
    </w:p>
    <w:p w14:paraId="6EF724F4" w14:textId="77777777" w:rsidR="00000000" w:rsidRDefault="0091247B">
      <w:pPr>
        <w:jc w:val="both"/>
        <w:rPr>
          <w:sz w:val="24"/>
          <w:szCs w:val="24"/>
        </w:rPr>
      </w:pPr>
    </w:p>
    <w:p w14:paraId="1A51999B" w14:textId="77777777" w:rsidR="00000000" w:rsidRDefault="0091247B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„Ne az legyen, amit én akarok, hanem amit te!”</w:t>
      </w:r>
    </w:p>
    <w:p w14:paraId="477E979D" w14:textId="77777777" w:rsidR="00000000" w:rsidRDefault="0091247B">
      <w:pPr>
        <w:jc w:val="both"/>
        <w:rPr>
          <w:sz w:val="24"/>
          <w:szCs w:val="24"/>
        </w:rPr>
      </w:pPr>
    </w:p>
    <w:p w14:paraId="5E8B46BD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elmúlt pillanat nem létezik már, az eljövendő nincs a birtokunkban még. Olyan ez, mint amikor vonaton utazunk: </w:t>
      </w:r>
      <w:r>
        <w:rPr>
          <w:sz w:val="24"/>
          <w:szCs w:val="24"/>
        </w:rPr>
        <w:t>hogy célba érjünk, nem járkálunk fel és alá, hanem nyugodtan ülünk a saját helyünkön. Ugyanígy kell a jelen pillanatba helyezkednünk: az idő vonata halad magától. Istent csak a nekünk megadatott jelenben tudjuk szeretni, és úgy, hogy kimondjuk az erős, a t</w:t>
      </w:r>
      <w:r>
        <w:rPr>
          <w:sz w:val="24"/>
          <w:szCs w:val="24"/>
        </w:rPr>
        <w:t>eljes, a cselekvő igen szót az Ő akaratára.</w:t>
      </w:r>
    </w:p>
    <w:p w14:paraId="20259F4C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Szeressük hát a mosolyt, amelyet adnunk kell, a munkát, amelyet el kell végeznünk, az autót, amelyet vezetünk, az ételt, amelyet el kell készítenünk, a tevékenységet, amelyet szervezü</w:t>
      </w:r>
      <w:r>
        <w:rPr>
          <w:sz w:val="24"/>
          <w:szCs w:val="24"/>
        </w:rPr>
        <w:t>nk, azt az embert, aki szenved mellettünk!</w:t>
      </w:r>
    </w:p>
    <w:p w14:paraId="5E5CE9E5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A próbatételek és fájdalmak sem tölthetnek el félelemmel, ha Jézussal fel tudjuk fedezni bennük Isten akaratát, a szeretetét irántunk. Sőt így imádkozhatunk:</w:t>
      </w:r>
    </w:p>
    <w:p w14:paraId="2D85D461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„Uram, add meg nekem, hogy semmitől se féljek, mert min</w:t>
      </w:r>
      <w:r>
        <w:rPr>
          <w:sz w:val="24"/>
          <w:szCs w:val="24"/>
        </w:rPr>
        <w:t>daz, ami történik, nem más, mint a Te akaratod! Uram, add meg, hogy ne vágyjak semmire, mert nincs kívánatosabb, mint a Te akaratod!</w:t>
      </w:r>
    </w:p>
    <w:p w14:paraId="02314D15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Mi számít az életben? A Te akaratod.</w:t>
      </w:r>
    </w:p>
    <w:p w14:paraId="3866C8D0" w14:textId="77777777" w:rsidR="00000000" w:rsidRDefault="0091247B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Add, hogy semmi ne csüggesszen el, mert minden mögött ott van a Te akaratod! Add, hogy</w:t>
      </w:r>
      <w:r>
        <w:rPr>
          <w:sz w:val="24"/>
          <w:szCs w:val="24"/>
        </w:rPr>
        <w:t xml:space="preserve"> semmivel ne dicsekedjek, mert minden a te akaratod szerint van!”</w:t>
      </w:r>
    </w:p>
    <w:p w14:paraId="5A32B785" w14:textId="77777777" w:rsidR="00000000" w:rsidRDefault="0091247B">
      <w:pPr>
        <w:jc w:val="both"/>
        <w:rPr>
          <w:sz w:val="24"/>
          <w:szCs w:val="24"/>
        </w:rPr>
      </w:pPr>
    </w:p>
    <w:p w14:paraId="66B73FA2" w14:textId="77777777" w:rsidR="00000000" w:rsidRDefault="0091247B">
      <w:pPr>
        <w:ind w:left="5529" w:firstLine="39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184F" w14:textId="77777777" w:rsidR="00000000" w:rsidRDefault="0091247B">
      <w:r>
        <w:separator/>
      </w:r>
    </w:p>
  </w:endnote>
  <w:endnote w:type="continuationSeparator" w:id="0">
    <w:p w14:paraId="0C1D9882" w14:textId="77777777" w:rsidR="00000000" w:rsidRDefault="0091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0D49" w14:textId="77777777" w:rsidR="00000000" w:rsidRDefault="0091247B">
      <w:r>
        <w:separator/>
      </w:r>
    </w:p>
  </w:footnote>
  <w:footnote w:type="continuationSeparator" w:id="0">
    <w:p w14:paraId="232E11DA" w14:textId="77777777" w:rsidR="00000000" w:rsidRDefault="0091247B">
      <w:r>
        <w:continuationSeparator/>
      </w:r>
    </w:p>
  </w:footnote>
  <w:footnote w:id="1">
    <w:p w14:paraId="32F4371C" w14:textId="77777777" w:rsidR="00000000" w:rsidRDefault="0091247B">
      <w:pPr>
        <w:pStyle w:val="Lbjegyzetszveg"/>
        <w:ind w:left="0" w:firstLine="0"/>
        <w:rPr>
          <w:sz w:val="24"/>
          <w:szCs w:val="24"/>
          <w:lang w:bidi="ar-SA"/>
        </w:rPr>
      </w:pPr>
      <w:r w:rsidRPr="0091247B">
        <w:rPr>
          <w:rStyle w:val="Lbjegyzet-hivatkozs"/>
        </w:rPr>
        <w:footnoteRef/>
      </w:r>
      <w:r>
        <w:rPr>
          <w:sz w:val="24"/>
          <w:szCs w:val="24"/>
          <w:lang w:bidi="ar-SA"/>
        </w:rPr>
        <w:t xml:space="preserve"> </w:t>
      </w:r>
      <w:r>
        <w:rPr>
          <w:szCs w:val="24"/>
          <w:lang w:bidi="ar-SA"/>
        </w:rPr>
        <w:t xml:space="preserve">Az Élet Igéje, 2003. április. Megjelent: </w:t>
      </w:r>
      <w:r>
        <w:rPr>
          <w:i/>
          <w:szCs w:val="24"/>
          <w:lang w:bidi="ar-SA"/>
        </w:rPr>
        <w:t>Új Város</w:t>
      </w:r>
      <w:r>
        <w:rPr>
          <w:szCs w:val="24"/>
          <w:lang w:bidi="ar-SA"/>
        </w:rPr>
        <w:t xml:space="preserve"> 2003/4</w:t>
      </w:r>
    </w:p>
  </w:footnote>
  <w:footnote w:id="2">
    <w:p w14:paraId="5DF2FF25" w14:textId="77777777" w:rsidR="00000000" w:rsidRDefault="0091247B">
      <w:pPr>
        <w:pStyle w:val="Lbjegyzetszveg"/>
        <w:ind w:left="0" w:firstLine="0"/>
        <w:rPr>
          <w:sz w:val="24"/>
          <w:szCs w:val="24"/>
          <w:lang w:bidi="ar-SA"/>
        </w:rPr>
      </w:pPr>
      <w:r w:rsidRPr="0091247B">
        <w:rPr>
          <w:rStyle w:val="Lbjegyzet-hivatkozs"/>
        </w:rPr>
        <w:footnoteRef/>
      </w:r>
      <w:r>
        <w:rPr>
          <w:sz w:val="24"/>
          <w:szCs w:val="24"/>
          <w:lang w:bidi="ar-SA"/>
        </w:rPr>
        <w:t xml:space="preserve"> </w:t>
      </w:r>
      <w:r>
        <w:rPr>
          <w:szCs w:val="24"/>
          <w:lang w:bidi="ar-SA"/>
        </w:rPr>
        <w:t>vö. Mk 14,36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47B"/>
    <w:rsid w:val="009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CBF85"/>
  <w14:defaultImageDpi w14:val="0"/>
  <w15:docId w15:val="{DE7E44A6-FC27-43CB-AF36-A6F0ABD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Cmsor1">
    <w:name w:val="heading 1"/>
    <w:basedOn w:val="Norml"/>
    <w:next w:val="Norml"/>
    <w:link w:val="Cmsor1Char"/>
    <w:uiPriority w:val="99"/>
    <w:qFormat/>
    <w:pPr>
      <w:ind w:left="864" w:hanging="432"/>
      <w:outlineLvl w:val="0"/>
    </w:p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Lista">
    <w:name w:val="List"/>
    <w:basedOn w:val="Szvegtrzs"/>
    <w:uiPriority w:val="99"/>
  </w:style>
  <w:style w:type="paragraph" w:styleId="Kpalrs">
    <w:name w:val="caption"/>
    <w:basedOn w:val="Norm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uiPriority w:val="99"/>
    <w:rPr>
      <w:rFonts w:ascii="Lohit Hindi" w:cs="Lohit Hindi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Index1">
    <w:name w:val="Index1"/>
    <w:basedOn w:val="Norml"/>
    <w:uiPriority w:val="99"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styleId="Buborkszveg">
    <w:name w:val="Balloon Text"/>
    <w:basedOn w:val="Norml"/>
    <w:link w:val="Buborkszveg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Mangal"/>
      <w:sz w:val="18"/>
      <w:szCs w:val="16"/>
      <w:lang w:bidi="hi-IN"/>
    </w:rPr>
  </w:style>
  <w:style w:type="paragraph" w:styleId="Lbjegyzetszveg">
    <w:name w:val="footnote text"/>
    <w:basedOn w:val="Norml"/>
    <w:link w:val="LbjegyzetszvegChar"/>
    <w:uiPriority w:val="99"/>
    <w:pPr>
      <w:ind w:left="283" w:hanging="283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footnotetext">
    <w:name w:val="WW-footnote text"/>
    <w:basedOn w:val="Norml"/>
    <w:uiPriority w:val="99"/>
    <w:pPr>
      <w:ind w:left="283" w:hanging="283"/>
    </w:pPr>
  </w:style>
  <w:style w:type="character" w:customStyle="1" w:styleId="Csor1Char">
    <w:name w:val="C匇sor 1 Char"/>
    <w:basedOn w:val="Bekezdsalapbettpusa"/>
    <w:uiPriority w:val="99"/>
    <w:rPr>
      <w:rFonts w:ascii="Cambria" w:hAnsi="Cambria" w:cs="Cambria"/>
      <w:b/>
      <w:bCs/>
      <w:sz w:val="32"/>
      <w:szCs w:val="32"/>
      <w:lang w:bidi="hi-IN"/>
    </w:rPr>
  </w:style>
  <w:style w:type="character" w:customStyle="1" w:styleId="BuborszegChar">
    <w:name w:val="Bubor駝szeg Char"/>
    <w:basedOn w:val="Bekezdsalapbettpusa"/>
    <w:uiPriority w:val="99"/>
    <w:rPr>
      <w:rFonts w:ascii="Tahoma" w:eastAsia="Times New Roman" w:hAnsi="Tahoma" w:cs="Tahoma"/>
      <w:sz w:val="16"/>
      <w:szCs w:val="16"/>
      <w:lang w:bidi="hi-IN"/>
    </w:rPr>
  </w:style>
  <w:style w:type="character" w:customStyle="1" w:styleId="LjegyzetszegChar">
    <w:name w:val="L畸jegyzetszeg Char"/>
    <w:basedOn w:val="Bekezdsalapbettpusa"/>
    <w:uiPriority w:val="99"/>
    <w:rPr>
      <w:sz w:val="20"/>
      <w:szCs w:val="20"/>
      <w:lang w:bidi="hi-IN"/>
    </w:rPr>
  </w:style>
  <w:style w:type="character" w:styleId="Lbjegyzet-hivatkozs">
    <w:name w:val="footnote reference"/>
    <w:basedOn w:val="Bekezdsalapbettpusa"/>
    <w:uiPriority w:val="99"/>
    <w:rPr>
      <w:position w:val="6"/>
      <w:lang w:bidi="hi-IN"/>
    </w:rPr>
  </w:style>
  <w:style w:type="character" w:customStyle="1" w:styleId="FootnoteSymbol">
    <w:name w:val="Footnote Symbol"/>
    <w:uiPriority w:val="99"/>
    <w:rPr>
      <w:lang w:bidi="hi-IN"/>
    </w:rPr>
  </w:style>
  <w:style w:type="character" w:customStyle="1" w:styleId="Footnoteanchor">
    <w:name w:val="Footnote anchor"/>
    <w:uiPriority w:val="99"/>
    <w:rPr>
      <w:position w:val="2"/>
      <w:lang w:bidi="hi-IN"/>
    </w:rPr>
  </w:style>
  <w:style w:type="character" w:customStyle="1" w:styleId="FootnoteSymbol1">
    <w:name w:val="Footnote Symbol1"/>
    <w:uiPriority w:val="99"/>
    <w:rPr>
      <w:rFonts w:eastAsia="Times New Roman"/>
      <w:lang w:eastAsia="zh-CN" w:bidi="hi-IN"/>
    </w:rPr>
  </w:style>
  <w:style w:type="character" w:customStyle="1" w:styleId="Footnoteanchor1">
    <w:name w:val="Footnote anchor1"/>
    <w:uiPriority w:val="99"/>
    <w:rPr>
      <w:rFonts w:eastAsia="Times New Roman"/>
      <w:position w:val="10"/>
      <w:lang w:eastAsia="zh-CN" w:bidi="hi-IN"/>
    </w:rPr>
  </w:style>
  <w:style w:type="character" w:styleId="Vgjegyzet-hivatkozs">
    <w:name w:val="endnote reference"/>
    <w:basedOn w:val="Bekezdsalapbettpusa"/>
    <w:uiPriority w:val="99"/>
    <w:semiHidden/>
    <w:unhideWhenUsed/>
    <w:rsid w:val="00912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ﾉletige, 2003</dc:title>
  <dc:subject/>
  <dc:creator>ﾚj V疵os</dc:creator>
  <cp:keywords/>
  <dc:description/>
  <cp:lastModifiedBy>Sándor Bodnár</cp:lastModifiedBy>
  <cp:revision>2</cp:revision>
  <dcterms:created xsi:type="dcterms:W3CDTF">2021-06-22T07:43:00Z</dcterms:created>
  <dcterms:modified xsi:type="dcterms:W3CDTF">2021-06-22T07:43:00Z</dcterms:modified>
</cp:coreProperties>
</file>