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FD9D" w14:textId="77777777" w:rsidR="00000000" w:rsidRDefault="00791832">
      <w:pPr>
        <w:pStyle w:val="Cmsor1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Élet Igéje, 2010. augusztus</w:t>
      </w:r>
    </w:p>
    <w:p w14:paraId="2FF93439" w14:textId="77777777" w:rsidR="00000000" w:rsidRDefault="00791832">
      <w:pPr>
        <w:rPr>
          <w:rFonts w:ascii="Times New Roman" w:hAnsi="Times New Roman" w:cs="Times New Roman"/>
          <w:sz w:val="24"/>
          <w:szCs w:val="24"/>
        </w:rPr>
      </w:pPr>
    </w:p>
    <w:p w14:paraId="06552D6D" w14:textId="77777777" w:rsidR="00000000" w:rsidRDefault="00791832">
      <w:pPr>
        <w:rPr>
          <w:rFonts w:ascii="Times New Roman" w:hAnsi="Times New Roman" w:cs="Times New Roman"/>
          <w:sz w:val="24"/>
          <w:szCs w:val="24"/>
        </w:rPr>
      </w:pPr>
    </w:p>
    <w:p w14:paraId="0CBC635A" w14:textId="77777777" w:rsidR="00000000" w:rsidRDefault="007918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„Boldog, aki hitt annak beteljesedésében, amit az Úr mondott neki.” </w:t>
      </w:r>
      <w:r>
        <w:rPr>
          <w:rFonts w:ascii="Times New Roman" w:hAnsi="Times New Roman" w:cs="Times New Roman"/>
          <w:b/>
          <w:bCs/>
          <w:sz w:val="24"/>
          <w:szCs w:val="24"/>
        </w:rPr>
        <w:t>(Lk 1,45)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23C2260" w14:textId="77777777" w:rsidR="00000000" w:rsidRDefault="007918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F9CEF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az ige egy nagyon egyszerű, ugyanakkor fennkölt eseményhez kapcsolódik: két áldott állapotban levő asszony találkozásakor hangzik el, miközben anya és magzata között a legszorosabb lelki és fizikai kapcsolat valósul meg. A gyermek gondolatait, érzéseit </w:t>
      </w:r>
      <w:r>
        <w:rPr>
          <w:rFonts w:ascii="Times New Roman" w:hAnsi="Times New Roman" w:cs="Times New Roman"/>
          <w:sz w:val="24"/>
          <w:szCs w:val="24"/>
        </w:rPr>
        <w:t>az anya mondja ki. Amikor Mária beszél, Erzsébet méhében örömében megmozdul a gyermek, Erzsébetnek pedig mintha az Előhírnök adná ajkára a szavakat. A Máriát dicsérő ének első része személyesen az Úr édesanyjához szól, utolsó mondata azonban harmadik szemé</w:t>
      </w:r>
      <w:r>
        <w:rPr>
          <w:rFonts w:ascii="Times New Roman" w:hAnsi="Times New Roman" w:cs="Times New Roman"/>
          <w:sz w:val="24"/>
          <w:szCs w:val="24"/>
        </w:rPr>
        <w:t>lyű: „Boldog, aki hitt.”</w:t>
      </w:r>
    </w:p>
    <w:p w14:paraId="3434516B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„Megállapítása ezzel egyetemes érvényű igazsággá lesz: boldognak nevez minden hívőt; mindazokat, akik befogadják és életre váltják Isten igéjét, s Máriát tekintik legfőbb példaképüknek…”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14:paraId="5624527B" w14:textId="77777777" w:rsidR="00000000" w:rsidRDefault="007918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D2601" w14:textId="77777777" w:rsidR="00000000" w:rsidRDefault="0079183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„Boldog, aki hitt annak beteljesedésében, amit az Úr mondott neki.”</w:t>
      </w:r>
    </w:p>
    <w:p w14:paraId="3E27CEBA" w14:textId="77777777" w:rsidR="00000000" w:rsidRDefault="007918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291A9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az első boldogság, amelyet az evangélium említ. Máriára vonatkozik, de mindazokra is, akik követni és utánozni akarják őt.</w:t>
      </w:r>
    </w:p>
    <w:p w14:paraId="670ABCEF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Máriában az Ige befogadásának gyümölcseként szoros eg</w:t>
      </w:r>
      <w:r>
        <w:rPr>
          <w:rFonts w:ascii="Times New Roman" w:hAnsi="Times New Roman" w:cs="Times New Roman"/>
          <w:sz w:val="24"/>
          <w:szCs w:val="24"/>
        </w:rPr>
        <w:t>ységet alkot a hit és az anyaság. De Lukács itt megsejtet valami olyat is, ami ránk vonatkozik. Evangéliumának egy későbbi szakaszában Jézus ezt mondja: „Azok az anyám és a rokonaim, akik hallgatják, és tetté is váltják az Isten szavát.”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p w14:paraId="21FF140A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Erzsébe</w:t>
      </w:r>
      <w:r>
        <w:rPr>
          <w:rFonts w:ascii="Times New Roman" w:hAnsi="Times New Roman" w:cs="Times New Roman"/>
          <w:sz w:val="24"/>
          <w:szCs w:val="24"/>
        </w:rPr>
        <w:t>t a Szentlélek indíttatására szinte ugyanezt adja hírül: minden tanítvány az Úr ‘édesanyjává’ válhat, feltéve, ha hisz Isten Igéjében, és életre is váltja.</w:t>
      </w:r>
    </w:p>
    <w:p w14:paraId="51B076BC" w14:textId="77777777" w:rsidR="00000000" w:rsidRDefault="007918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7DF7D" w14:textId="77777777" w:rsidR="00000000" w:rsidRDefault="0079183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„Boldog, aki hitt annak beteljesedésében, amit az Úr mondott neki.”</w:t>
      </w:r>
    </w:p>
    <w:p w14:paraId="03D5AC69" w14:textId="77777777" w:rsidR="00000000" w:rsidRDefault="007918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3DE22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 után Mária mondta ki a l</w:t>
      </w:r>
      <w:r>
        <w:rPr>
          <w:rFonts w:ascii="Times New Roman" w:hAnsi="Times New Roman" w:cs="Times New Roman"/>
          <w:sz w:val="24"/>
          <w:szCs w:val="24"/>
        </w:rPr>
        <w:t xml:space="preserve">egtökéletesebb igent Istennek. Mindenekelőtt ebben áll életszentsége és nagysága. Jézus az Ige, a </w:t>
      </w:r>
      <w:r>
        <w:rPr>
          <w:rFonts w:ascii="Times New Roman" w:hAnsi="Times New Roman" w:cs="Times New Roman"/>
          <w:i/>
          <w:iCs/>
          <w:sz w:val="24"/>
          <w:szCs w:val="24"/>
        </w:rPr>
        <w:t>megtestesült</w:t>
      </w:r>
      <w:r>
        <w:rPr>
          <w:rFonts w:ascii="Times New Roman" w:hAnsi="Times New Roman" w:cs="Times New Roman"/>
          <w:sz w:val="24"/>
          <w:szCs w:val="24"/>
        </w:rPr>
        <w:t xml:space="preserve"> Ige, Máriáról pedig elmondhatjuk, hogy az Igébe vetett hite által ő a </w:t>
      </w:r>
      <w:r>
        <w:rPr>
          <w:rFonts w:ascii="Times New Roman" w:hAnsi="Times New Roman" w:cs="Times New Roman"/>
          <w:i/>
          <w:iCs/>
          <w:sz w:val="24"/>
          <w:szCs w:val="24"/>
        </w:rPr>
        <w:t>megélt</w:t>
      </w:r>
      <w:r>
        <w:rPr>
          <w:rFonts w:ascii="Times New Roman" w:hAnsi="Times New Roman" w:cs="Times New Roman"/>
          <w:sz w:val="24"/>
          <w:szCs w:val="24"/>
        </w:rPr>
        <w:t xml:space="preserve"> Ige, de teremtmény, mint mi, ugyanolyan, mint mi.</w:t>
      </w:r>
    </w:p>
    <w:p w14:paraId="41AD9BB6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Mária istenanyaság</w:t>
      </w:r>
      <w:r>
        <w:rPr>
          <w:rFonts w:ascii="Times New Roman" w:hAnsi="Times New Roman" w:cs="Times New Roman"/>
          <w:sz w:val="24"/>
          <w:szCs w:val="24"/>
        </w:rPr>
        <w:t>a hatalmas, egyedülálló kiváltság. Isten mégsem csak a Szüzet hívja arra, hogy Krisztust magába fogadja. Ha más módon is, de Krisztusnak minden keresztényben meg kell testesülnie, hogy Pállal együtt ismételhesse: „Élek, de már nem én élek, hanem Krisztus é</w:t>
      </w:r>
      <w:r>
        <w:rPr>
          <w:rFonts w:ascii="Times New Roman" w:hAnsi="Times New Roman" w:cs="Times New Roman"/>
          <w:sz w:val="24"/>
          <w:szCs w:val="24"/>
        </w:rPr>
        <w:t>l énbennem.”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</w:p>
    <w:p w14:paraId="3C3B7B65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valósítsuk ezt meg?</w:t>
      </w:r>
    </w:p>
    <w:p w14:paraId="50F9A935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Máriához hasonlóan legyünk készségesek, és fogadjuk be teljességgel Isten igéjét! Higgyük vele együtt, hogy Jézus minden ígé</w:t>
      </w:r>
      <w:r>
        <w:rPr>
          <w:rFonts w:ascii="Times New Roman" w:hAnsi="Times New Roman" w:cs="Times New Roman"/>
          <w:sz w:val="24"/>
          <w:szCs w:val="24"/>
        </w:rPr>
        <w:t>rete be fog teljesedni! S ha egy-egy ige képtelenséget kívánna, ha kell, vállaljuk a kockázatát, mint Mária!</w:t>
      </w:r>
    </w:p>
    <w:p w14:paraId="14DD3617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Azzal, aki hisz az igében, mindig rendkívüli dolgok történnek. Könyveket lehetne írni a kisebb-nagyobb csodákról, amelyek mind ezt tanúsítják.</w:t>
      </w:r>
    </w:p>
    <w:p w14:paraId="0570D00C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t</w:t>
      </w:r>
      <w:r>
        <w:rPr>
          <w:rFonts w:ascii="Times New Roman" w:hAnsi="Times New Roman" w:cs="Times New Roman"/>
          <w:sz w:val="24"/>
          <w:szCs w:val="24"/>
        </w:rPr>
        <w:t>udná elfelejteni, amikor a háború alatt hittünk Jézus e szavaiban: „Kérjetek és kaptok!”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Kértük tehát mindazt, amire a város szegényeinek szükségük volt, és láttuk, hogy </w:t>
      </w:r>
      <w:r>
        <w:rPr>
          <w:rFonts w:ascii="Times New Roman" w:hAnsi="Times New Roman" w:cs="Times New Roman"/>
          <w:sz w:val="24"/>
          <w:szCs w:val="24"/>
        </w:rPr>
        <w:lastRenderedPageBreak/>
        <w:t>zsákszámra érkezik a liszt, ládákban a tejkonzerv és a lekvár, a tűzifa és m</w:t>
      </w:r>
      <w:r>
        <w:rPr>
          <w:rFonts w:ascii="Times New Roman" w:hAnsi="Times New Roman" w:cs="Times New Roman"/>
          <w:sz w:val="24"/>
          <w:szCs w:val="24"/>
        </w:rPr>
        <w:t>indenféle ruhanemű.</w:t>
      </w:r>
    </w:p>
    <w:p w14:paraId="53EA1EF8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is ugyanez történik. „Adjatok és adnak majd nektek is”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: a „szeretet-butikok” mindig újra megtelnek, mivel rendszeresen kiürülnek.</w:t>
      </w:r>
    </w:p>
    <w:p w14:paraId="57B2FC4A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Ám leginkább az döbbenti meg az embert, hogy Jézus szavai mindig é</w:t>
      </w:r>
      <w:r>
        <w:rPr>
          <w:rFonts w:ascii="Times New Roman" w:hAnsi="Times New Roman" w:cs="Times New Roman"/>
          <w:sz w:val="24"/>
          <w:szCs w:val="24"/>
        </w:rPr>
        <w:t>s mindenhol igazak. Isten segítsége mindig pontosan érkezik a lehetetlennél lehetetlenebb helyzetekben, a világ legelszigeteltebb zugába is. Nemrégiben ez történt egy édesanyával, aki hihetetlenül szegény volt. Egyik nap úgy érezte, az utolsó fillérét is o</w:t>
      </w:r>
      <w:r>
        <w:rPr>
          <w:rFonts w:ascii="Times New Roman" w:hAnsi="Times New Roman" w:cs="Times New Roman"/>
          <w:sz w:val="24"/>
          <w:szCs w:val="24"/>
        </w:rPr>
        <w:t>da kell adnia egy nála szegényebbnek. Hitt az evangélium ígéretében – „adjatok és adnak majd nektek is” –, és nagy béke töltötte be a lelkét. Kicsit később megérkezett legkisebb lánya. Már mutatta is az ajándékot, amit egyik idős rokonuktól kapott, aki vél</w:t>
      </w:r>
      <w:r>
        <w:rPr>
          <w:rFonts w:ascii="Times New Roman" w:hAnsi="Times New Roman" w:cs="Times New Roman"/>
          <w:sz w:val="24"/>
          <w:szCs w:val="24"/>
        </w:rPr>
        <w:t>etlenül arra járt: kis kezében ott volt a megígért százszoros.</w:t>
      </w:r>
    </w:p>
    <w:p w14:paraId="088587D1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ehhez hasonló „kicsiny” tapasztalatok arra bátorítanak, hogy higgyünk az evangéliumban. Bármelyikünk átélheti azt az örömöt, azt a boldogságot, amely abból fakad, hogy beteljesülnek Jézus íg</w:t>
      </w:r>
      <w:r>
        <w:rPr>
          <w:rFonts w:ascii="Times New Roman" w:hAnsi="Times New Roman" w:cs="Times New Roman"/>
          <w:sz w:val="24"/>
          <w:szCs w:val="24"/>
        </w:rPr>
        <w:t>éretei.</w:t>
      </w:r>
    </w:p>
    <w:p w14:paraId="05B803BE" w14:textId="77777777" w:rsidR="00000000" w:rsidRDefault="0079183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Amikor a hétköznapok folyamán a Szentírást olvasva találkozunk Isten igéjével, nyissuk ki a szívünket és fogadjuk be! Higgyük, hogy amit Jézus kér vagy ígér, az megvalósul! Hamarosan felfedezzük majd, mint Mária, vagy mint az említett édesanya, hog</w:t>
      </w:r>
      <w:r>
        <w:rPr>
          <w:rFonts w:ascii="Times New Roman" w:hAnsi="Times New Roman" w:cs="Times New Roman"/>
          <w:sz w:val="24"/>
          <w:szCs w:val="24"/>
        </w:rPr>
        <w:t>y Ő megtartja ígéreteit.</w:t>
      </w:r>
    </w:p>
    <w:p w14:paraId="7F7446F1" w14:textId="77777777" w:rsidR="00000000" w:rsidRDefault="00791832">
      <w:pPr>
        <w:rPr>
          <w:rFonts w:ascii="Times New Roman" w:hAnsi="Times New Roman" w:cs="Times New Roman"/>
          <w:sz w:val="24"/>
          <w:szCs w:val="24"/>
        </w:rPr>
      </w:pPr>
    </w:p>
    <w:p w14:paraId="2AD29139" w14:textId="77777777" w:rsidR="00000000" w:rsidRDefault="00791832">
      <w:pPr>
        <w:pStyle w:val="Cmsor2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Chiara Lubich</w:t>
      </w:r>
    </w:p>
    <w:p w14:paraId="6B1A1358" w14:textId="77777777" w:rsidR="00000000" w:rsidRDefault="00791832">
      <w:pPr>
        <w:rPr>
          <w:rFonts w:ascii="Times New Roman" w:hAnsi="Times New Roman" w:cs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E9C5" w14:textId="77777777" w:rsidR="00000000" w:rsidRDefault="00791832">
      <w:r>
        <w:separator/>
      </w:r>
    </w:p>
  </w:endnote>
  <w:endnote w:type="continuationSeparator" w:id="0">
    <w:p w14:paraId="7AC28DEE" w14:textId="77777777" w:rsidR="00000000" w:rsidRDefault="0079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F66D" w14:textId="77777777" w:rsidR="00000000" w:rsidRDefault="00791832">
      <w:r>
        <w:separator/>
      </w:r>
    </w:p>
  </w:footnote>
  <w:footnote w:type="continuationSeparator" w:id="0">
    <w:p w14:paraId="20F637F2" w14:textId="77777777" w:rsidR="00000000" w:rsidRDefault="00791832">
      <w:r>
        <w:continuationSeparator/>
      </w:r>
    </w:p>
  </w:footnote>
  <w:footnote w:id="1">
    <w:p w14:paraId="68F894F2" w14:textId="77777777" w:rsidR="00000000" w:rsidRDefault="00791832">
      <w:pPr>
        <w:pStyle w:val="Lbjegyzetszveg"/>
      </w:pPr>
      <w:r>
        <w:rPr>
          <w:rStyle w:val="Lbjegyzet-hivatkozs"/>
          <w:rFonts w:ascii="Times New Roman" w:hAnsi="Times New Roman" w:cs="Times New Roman"/>
          <w:u w:val="none"/>
        </w:rPr>
        <w:footnoteRef/>
      </w:r>
      <w:r>
        <w:rPr>
          <w:rFonts w:ascii="Times New Roman" w:hAnsi="Times New Roman" w:cs="Times New Roman"/>
          <w:u w:val="none"/>
        </w:rPr>
        <w:t xml:space="preserve"> Az élet igéje, 1999. augusztus. Megjelent: </w:t>
      </w:r>
      <w:r>
        <w:rPr>
          <w:rFonts w:ascii="Times New Roman" w:hAnsi="Times New Roman" w:cs="Times New Roman"/>
          <w:i/>
          <w:iCs/>
          <w:u w:val="none"/>
        </w:rPr>
        <w:t xml:space="preserve">Új Város, </w:t>
      </w:r>
      <w:r>
        <w:rPr>
          <w:rFonts w:ascii="Times New Roman" w:hAnsi="Times New Roman" w:cs="Times New Roman"/>
          <w:u w:val="none"/>
        </w:rPr>
        <w:t>1999. 7-8. szám</w:t>
      </w:r>
    </w:p>
  </w:footnote>
  <w:footnote w:id="2">
    <w:p w14:paraId="2376E474" w14:textId="77777777" w:rsidR="00000000" w:rsidRDefault="00791832">
      <w:pPr>
        <w:pStyle w:val="Lbjegyzetszveg"/>
      </w:pPr>
      <w:r>
        <w:rPr>
          <w:rStyle w:val="Lbjegyzet-hivatkozs"/>
          <w:rFonts w:ascii="Times New Roman" w:hAnsi="Times New Roman" w:cs="Times New Roman"/>
          <w:u w:val="none"/>
        </w:rPr>
        <w:footnoteRef/>
      </w:r>
      <w:r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none"/>
        </w:rPr>
        <w:t xml:space="preserve">G. Rossé, </w:t>
      </w:r>
      <w:r>
        <w:rPr>
          <w:rFonts w:ascii="Times New Roman" w:hAnsi="Times New Roman" w:cs="Times New Roman"/>
          <w:i/>
          <w:iCs/>
          <w:sz w:val="18"/>
          <w:szCs w:val="18"/>
          <w:u w:val="none"/>
        </w:rPr>
        <w:t>Il Vangelo di Luca</w:t>
      </w:r>
      <w:r>
        <w:rPr>
          <w:rFonts w:ascii="Times New Roman" w:hAnsi="Times New Roman" w:cs="Times New Roman"/>
          <w:sz w:val="18"/>
          <w:szCs w:val="18"/>
          <w:u w:val="none"/>
        </w:rPr>
        <w:t>, Róma 1992, 6</w:t>
      </w:r>
      <w:r>
        <w:rPr>
          <w:rFonts w:ascii="Times New Roman" w:hAnsi="Times New Roman" w:cs="Times New Roman"/>
          <w:sz w:val="18"/>
          <w:szCs w:val="18"/>
          <w:u w:val="none"/>
        </w:rPr>
        <w:t>7. o.</w:t>
      </w:r>
    </w:p>
  </w:footnote>
  <w:footnote w:id="3">
    <w:p w14:paraId="2326F622" w14:textId="77777777" w:rsidR="00000000" w:rsidRDefault="00791832">
      <w:pPr>
        <w:pStyle w:val="Lbjegyzetszveg"/>
      </w:pPr>
      <w:r>
        <w:rPr>
          <w:rStyle w:val="Lbjegyzet-hivatkozs"/>
          <w:rFonts w:ascii="Times New Roman" w:hAnsi="Times New Roman" w:cs="Times New Roman"/>
          <w:u w:val="none"/>
        </w:rPr>
        <w:footnoteRef/>
      </w:r>
      <w:r>
        <w:rPr>
          <w:rFonts w:ascii="Times New Roman" w:hAnsi="Times New Roman" w:cs="Times New Roman"/>
          <w:u w:val="none"/>
        </w:rPr>
        <w:t xml:space="preserve"> Lk 8,21</w:t>
      </w:r>
    </w:p>
  </w:footnote>
  <w:footnote w:id="4">
    <w:p w14:paraId="28BD2E79" w14:textId="77777777" w:rsidR="00000000" w:rsidRDefault="00791832">
      <w:pPr>
        <w:pStyle w:val="Lbjegyzetszveg"/>
      </w:pPr>
      <w:r>
        <w:rPr>
          <w:rStyle w:val="Lbjegyzet-hivatkozs"/>
          <w:rFonts w:ascii="Times New Roman" w:hAnsi="Times New Roman" w:cs="Times New Roman"/>
          <w:u w:val="none"/>
        </w:rPr>
        <w:footnoteRef/>
      </w:r>
      <w:r>
        <w:rPr>
          <w:rFonts w:ascii="Times New Roman" w:hAnsi="Times New Roman" w:cs="Times New Roman"/>
          <w:u w:val="none"/>
        </w:rPr>
        <w:t xml:space="preserve"> Gal 2,20</w:t>
      </w:r>
    </w:p>
  </w:footnote>
  <w:footnote w:id="5">
    <w:p w14:paraId="7CACB3AA" w14:textId="77777777" w:rsidR="00000000" w:rsidRDefault="00791832">
      <w:pPr>
        <w:pStyle w:val="Lbjegyzetszveg"/>
      </w:pPr>
      <w:r>
        <w:rPr>
          <w:rStyle w:val="Lbjegyzet-hivatkozs"/>
          <w:rFonts w:ascii="Times New Roman" w:hAnsi="Times New Roman" w:cs="Times New Roman"/>
          <w:u w:val="none"/>
        </w:rPr>
        <w:footnoteRef/>
      </w:r>
      <w:r>
        <w:rPr>
          <w:rFonts w:ascii="Times New Roman" w:hAnsi="Times New Roman" w:cs="Times New Roman"/>
          <w:u w:val="none"/>
        </w:rPr>
        <w:t xml:space="preserve"> Mt 7,7</w:t>
      </w:r>
    </w:p>
  </w:footnote>
  <w:footnote w:id="6">
    <w:p w14:paraId="08758D8D" w14:textId="77777777" w:rsidR="00000000" w:rsidRDefault="00791832">
      <w:pPr>
        <w:pStyle w:val="Lbjegyzetszveg"/>
      </w:pPr>
      <w:r>
        <w:rPr>
          <w:rStyle w:val="Lbjegyzet-hivatkozs"/>
          <w:rFonts w:ascii="Times New Roman" w:hAnsi="Times New Roman" w:cs="Times New Roman"/>
          <w:u w:val="none"/>
        </w:rPr>
        <w:footnoteRef/>
      </w:r>
      <w:r>
        <w:rPr>
          <w:rFonts w:ascii="Times New Roman" w:hAnsi="Times New Roman" w:cs="Times New Roman"/>
          <w:u w:val="none"/>
        </w:rPr>
        <w:t xml:space="preserve"> Lk 6,38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1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91832"/>
    <w:rsid w:val="007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FC5C"/>
  <w14:defaultImageDpi w14:val="0"/>
  <w15:docId w15:val="{96719467-0F97-4B98-8132-F35C6B4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  <w:lang w:val="en-US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right"/>
      <w:outlineLvl w:val="1"/>
    </w:pPr>
    <w:rPr>
      <w:i/>
      <w:iCs/>
      <w:sz w:val="24"/>
      <w:szCs w:val="24"/>
      <w:lang w:val="en-US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Pr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Arial" w:hAnsi="Arial" w:cs="Arial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  <w:u w:val="singl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2">
    <w:name w:val="Body Text 2"/>
    <w:basedOn w:val="Norml"/>
    <w:link w:val="Szvegtrzs2Char"/>
    <w:uiPriority w:val="99"/>
    <w:pPr>
      <w:ind w:firstLine="708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Arial" w:hAnsi="Arial" w:cs="Arial"/>
    </w:rPr>
  </w:style>
  <w:style w:type="paragraph" w:styleId="Szvegtrzsbehzssal2">
    <w:name w:val="Body Text Indent 2"/>
    <w:basedOn w:val="Norml"/>
    <w:link w:val="Szvegtrzsbehzssal2Char"/>
    <w:uiPriority w:val="99"/>
    <w:pPr>
      <w:ind w:firstLine="708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3541</Characters>
  <Application>Microsoft Office Word</Application>
  <DocSecurity>0</DocSecurity>
  <Lines>29</Lines>
  <Paragraphs>8</Paragraphs>
  <ScaleCrop>false</ScaleCrop>
  <Company>Alapítvány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Élet Igéje, 2010</dc:title>
  <dc:subject/>
  <dc:creator>Új Város</dc:creator>
  <cp:keywords/>
  <dc:description/>
  <cp:lastModifiedBy>Sándor Bodnár</cp:lastModifiedBy>
  <cp:revision>2</cp:revision>
  <dcterms:created xsi:type="dcterms:W3CDTF">2021-06-23T12:31:00Z</dcterms:created>
  <dcterms:modified xsi:type="dcterms:W3CDTF">2021-06-23T12:31:00Z</dcterms:modified>
</cp:coreProperties>
</file>