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64AB" w14:textId="77777777" w:rsidR="00000000" w:rsidRDefault="00C518D8">
      <w:pPr>
        <w:pStyle w:val="Cmsor1"/>
      </w:pPr>
      <w:r>
        <w:t>Életige, 2008. február</w:t>
      </w:r>
    </w:p>
    <w:p w14:paraId="6300B455" w14:textId="77777777" w:rsidR="00000000" w:rsidRDefault="00C518D8">
      <w:pPr>
        <w:jc w:val="right"/>
        <w:rPr>
          <w:sz w:val="24"/>
          <w:szCs w:val="24"/>
        </w:rPr>
      </w:pPr>
    </w:p>
    <w:p w14:paraId="2D131445" w14:textId="77777777" w:rsidR="00000000" w:rsidRDefault="00C518D8">
      <w:pPr>
        <w:jc w:val="right"/>
        <w:rPr>
          <w:sz w:val="24"/>
          <w:szCs w:val="24"/>
        </w:rPr>
      </w:pPr>
    </w:p>
    <w:p w14:paraId="4FFD6A6A" w14:textId="77777777" w:rsidR="00000000" w:rsidRDefault="00C518D8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„Aki megtartja és tanítja [ezeket a parancsokat], az nagy lesz a mennyek országában.” </w:t>
      </w:r>
      <w:r>
        <w:rPr>
          <w:b/>
          <w:bCs/>
          <w:sz w:val="24"/>
          <w:szCs w:val="24"/>
        </w:rPr>
        <w:t>(Mt 5,19)</w:t>
      </w:r>
    </w:p>
    <w:p w14:paraId="47E84C0F" w14:textId="77777777" w:rsidR="00000000" w:rsidRDefault="00C518D8">
      <w:pPr>
        <w:jc w:val="both"/>
        <w:rPr>
          <w:b/>
          <w:bCs/>
          <w:sz w:val="24"/>
          <w:szCs w:val="24"/>
        </w:rPr>
      </w:pPr>
    </w:p>
    <w:p w14:paraId="35BAB657" w14:textId="77777777" w:rsidR="00000000" w:rsidRDefault="00C518D8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Jézust tömeg vette körül, ezért fölment egy hegyre, é</w:t>
      </w:r>
      <w:r>
        <w:rPr>
          <w:sz w:val="24"/>
          <w:szCs w:val="24"/>
        </w:rPr>
        <w:t>s onnan mondta el híres beszédét, melynek már első szavai is rámutatnak arra az újdonságra, amit el akart hozni közénk: „Boldogok a lélekben szegények, boldogok a szelídek…”</w:t>
      </w:r>
    </w:p>
    <w:p w14:paraId="56F1E7BE" w14:textId="77777777" w:rsidR="00000000" w:rsidRDefault="00C518D8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Jézus az élet, a fény, a remény szavaival fordul tanítványaihoz, hogy megvilágosít</w:t>
      </w:r>
      <w:r>
        <w:rPr>
          <w:sz w:val="24"/>
          <w:szCs w:val="24"/>
        </w:rPr>
        <w:t>sa őket, hogy új ízt és értelmet nyerjen az életük.</w:t>
      </w:r>
    </w:p>
    <w:p w14:paraId="19545073" w14:textId="77777777" w:rsidR="00000000" w:rsidRDefault="00C518D8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Jézus mély mondanivalót rejtő beszéde megváltoztatta és megújította a tanítványokat, ezért meghívta őket, hogy adják át másoknak is a kapott és életté váltott tanítást.</w:t>
      </w:r>
    </w:p>
    <w:p w14:paraId="529EF8E2" w14:textId="77777777" w:rsidR="00000000" w:rsidRDefault="00C518D8">
      <w:pPr>
        <w:jc w:val="both"/>
        <w:rPr>
          <w:sz w:val="24"/>
          <w:szCs w:val="24"/>
        </w:rPr>
      </w:pPr>
    </w:p>
    <w:p w14:paraId="37BEDD47" w14:textId="77777777" w:rsidR="00000000" w:rsidRDefault="00C518D8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„Aki megtartja és tanítja [ezeket </w:t>
      </w:r>
      <w:r>
        <w:rPr>
          <w:b/>
          <w:bCs/>
          <w:i/>
          <w:iCs/>
          <w:sz w:val="24"/>
          <w:szCs w:val="24"/>
        </w:rPr>
        <w:t>a parancsokat], az nagy lesz a mennyek országában.”</w:t>
      </w:r>
    </w:p>
    <w:p w14:paraId="303BCB34" w14:textId="77777777" w:rsidR="00000000" w:rsidRDefault="00C518D8">
      <w:pPr>
        <w:jc w:val="both"/>
        <w:rPr>
          <w:sz w:val="24"/>
          <w:szCs w:val="24"/>
        </w:rPr>
      </w:pPr>
    </w:p>
    <w:p w14:paraId="00EF5EA4" w14:textId="77777777" w:rsidR="00000000" w:rsidRDefault="00C518D8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Társadalmunknak ma különösen is szüksége van arra, hogy megismerje az evangélium igéit, és engedjen azok átalakító erejének. Hagynunk kell, hogy Jézus ma is ezt ismételje: ne gerjedjetek haragra testvére</w:t>
      </w:r>
      <w:r>
        <w:rPr>
          <w:sz w:val="24"/>
          <w:szCs w:val="24"/>
        </w:rPr>
        <w:t xml:space="preserve">itekkel szemben; bocsássatok meg, és akkor nektek is megbocsátanak; mondjatok igazat, úgy, hogy ne kelljen esküdnötök; szeressétek ellenségeiteket; vegyétek észre, hogy egyetlen Atyátok van, és mind testvérek vagytok; tegyétek meg testvéreiteknek mindazt, </w:t>
      </w:r>
      <w:r>
        <w:rPr>
          <w:sz w:val="24"/>
          <w:szCs w:val="24"/>
        </w:rPr>
        <w:t>amit szeretnétek, hogy ők is megtegyenek nektek. Ez a mondanivalója a „hegyi beszéd” gondolatainak. Ha ezt megélnénk, elég lenne ahhoz, hogy a világ megváltozzon.</w:t>
      </w:r>
    </w:p>
    <w:p w14:paraId="7A0E5765" w14:textId="77777777" w:rsidR="00000000" w:rsidRDefault="00C518D8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Jézus minket is arra hív, hogy hirdessük evangéliumát, de mielőtt „tanítanánk”, azt kéri, hog</w:t>
      </w:r>
      <w:r>
        <w:rPr>
          <w:sz w:val="24"/>
          <w:szCs w:val="24"/>
        </w:rPr>
        <w:t>y „tartsuk is meg” szavait. Ahhoz, hogy hitelesek legyünk, az evangélium „szakértőivé” kell válnunk, „élő evangéliummá”. Csak így tehetünk tanúságot róla az életünkkel, és taníthatjuk szavainkkal.</w:t>
      </w:r>
    </w:p>
    <w:p w14:paraId="133BC923" w14:textId="77777777" w:rsidR="00000000" w:rsidRDefault="00C518D8">
      <w:pPr>
        <w:jc w:val="both"/>
        <w:rPr>
          <w:sz w:val="24"/>
          <w:szCs w:val="24"/>
        </w:rPr>
      </w:pPr>
    </w:p>
    <w:p w14:paraId="77A00413" w14:textId="77777777" w:rsidR="00000000" w:rsidRDefault="00C518D8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„Aki megtartja és tanítja [ezeket a parancsokat], az nagy </w:t>
      </w:r>
      <w:r>
        <w:rPr>
          <w:b/>
          <w:bCs/>
          <w:i/>
          <w:iCs/>
          <w:sz w:val="24"/>
          <w:szCs w:val="24"/>
        </w:rPr>
        <w:t>lesz a mennyek országában.”</w:t>
      </w:r>
    </w:p>
    <w:p w14:paraId="50C94E3A" w14:textId="77777777" w:rsidR="00000000" w:rsidRDefault="00C518D8">
      <w:pPr>
        <w:jc w:val="both"/>
        <w:rPr>
          <w:sz w:val="24"/>
          <w:szCs w:val="24"/>
        </w:rPr>
      </w:pPr>
    </w:p>
    <w:p w14:paraId="55CAF4B0" w14:textId="77777777" w:rsidR="00000000" w:rsidRDefault="00C518D8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Hogyan élhetjük legjobban ezt az igét?</w:t>
      </w:r>
    </w:p>
    <w:p w14:paraId="6619FA2C" w14:textId="77777777" w:rsidR="00000000" w:rsidRDefault="00C518D8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Hagyjuk, hogy Jézus tanítson meg erre minket! Hívjuk Őt magunkba és magunk közé kölcsönös szeretetünkkel! Így Ő sugallhatja majd, hogy milyen szavakkal közeledjünk az emberekhez. Ő mutatja</w:t>
      </w:r>
      <w:r>
        <w:rPr>
          <w:sz w:val="24"/>
          <w:szCs w:val="24"/>
        </w:rPr>
        <w:t xml:space="preserve"> meg az utat, és Ő tárja ki a kaput, hogy testvéreink szívéig juthassunk, és tanúságot tegyünk Róla mindenütt, a legnehezebb körülményekben, a legkuszább helyzetekben is. Így azt fogjuk látni, hogy a világ – a világnak az a része, ahol élünk – átalakul, ös</w:t>
      </w:r>
      <w:r>
        <w:rPr>
          <w:sz w:val="24"/>
          <w:szCs w:val="24"/>
        </w:rPr>
        <w:t>szhangra, megértésre, békére talál.</w:t>
      </w:r>
    </w:p>
    <w:p w14:paraId="0D9F5BF4" w14:textId="77777777" w:rsidR="00000000" w:rsidRDefault="00C518D8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Az a fontos, hogy kölcsönös szeretetünk által élőn tartsuk magunk között az Ő jelenlétét, és készségesen hallgassunk hangjára, lelkiismeretünk hangjára, mely mindig megszólal, ha el tudjuk hallgattatni a többi hangot.</w:t>
      </w:r>
    </w:p>
    <w:p w14:paraId="35975DAF" w14:textId="77777777" w:rsidR="00000000" w:rsidRDefault="00C518D8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Ő </w:t>
      </w:r>
      <w:r>
        <w:rPr>
          <w:sz w:val="24"/>
          <w:szCs w:val="24"/>
        </w:rPr>
        <w:t xml:space="preserve">meg fogja tanítani, hogy hogyan „tartsuk meg” örömteli, alkotó és kezdeményező módon a legkisebb előírást is, amivel tökéletesre finomíthatjuk egység-életünket. Így rólunk is elmondhatják majd, mint az első keresztényekről: „Nézd, hogyan szeretik egymást, </w:t>
      </w:r>
      <w:r>
        <w:rPr>
          <w:sz w:val="24"/>
          <w:szCs w:val="24"/>
        </w:rPr>
        <w:t>mennyire készek meghalni egymásért!”</w:t>
      </w:r>
      <w:r>
        <w:rPr>
          <w:rStyle w:val="Lbjegyzet-hivatkozs"/>
          <w:sz w:val="24"/>
          <w:szCs w:val="24"/>
        </w:rPr>
        <w:footnoteReference w:id="1"/>
      </w:r>
      <w:r>
        <w:rPr>
          <w:sz w:val="24"/>
          <w:szCs w:val="24"/>
        </w:rPr>
        <w:t xml:space="preserve"> A szeretetben megújuló kapcsolatainkból pedig láthatóvá válik, hogy az evangélium új társadalmat tud teremteni.</w:t>
      </w:r>
    </w:p>
    <w:p w14:paraId="0AF1C557" w14:textId="77777777" w:rsidR="00000000" w:rsidRDefault="00C518D8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Nem tarthatjuk meg magunknak a kapott ajándékot. Ránk is érvényesek P</w:t>
      </w:r>
      <w:r>
        <w:rPr>
          <w:sz w:val="24"/>
          <w:szCs w:val="24"/>
        </w:rPr>
        <w:t>ál szavai: „Jaj nekem, ha nem hirdetem az evangéliumot!”</w:t>
      </w:r>
      <w:r>
        <w:rPr>
          <w:rStyle w:val="Lbjegyzet-hivatkozs"/>
          <w:sz w:val="24"/>
          <w:szCs w:val="24"/>
        </w:rPr>
        <w:footnoteReference w:id="2"/>
      </w:r>
      <w:r>
        <w:rPr>
          <w:sz w:val="24"/>
          <w:szCs w:val="24"/>
        </w:rPr>
        <w:t xml:space="preserve"> Ha hagyjuk, hogy a belső hang vezessen </w:t>
      </w:r>
      <w:r>
        <w:rPr>
          <w:sz w:val="24"/>
          <w:szCs w:val="24"/>
        </w:rPr>
        <w:lastRenderedPageBreak/>
        <w:t>bennünket, akkor mindig fogunk új lehetőséget találni arra, hogy továbbadjuk az evangéliumot szóban, írásban vagy beszélgetésekben, hogy az ev</w:t>
      </w:r>
      <w:r>
        <w:rPr>
          <w:sz w:val="24"/>
          <w:szCs w:val="24"/>
        </w:rPr>
        <w:t>angélium ragyoghasson bennünk és otthonunkban, városunkban, országunkban. Így új élet virágzik majd a szívünkben, egyre nagyobb öröm tölt el, és egyre fénylőbben ragyog majd a Feltámadott jelenléte… Ő pedig „nagynak” tekint majd minket a mennyek országában</w:t>
      </w:r>
      <w:r>
        <w:rPr>
          <w:sz w:val="24"/>
          <w:szCs w:val="24"/>
        </w:rPr>
        <w:t>.</w:t>
      </w:r>
    </w:p>
    <w:p w14:paraId="782C4802" w14:textId="77777777" w:rsidR="00000000" w:rsidRDefault="00C518D8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Nagyszerűen igazolja ezt Ginetta Calliari élete. Ő 1959-ben érkezett Brazíliába a Fokoláre első kis csoportjával. Az országban lévő súlyos egyenlőtlenségekkel való rideg szembesülés szinte sokkoló hatással volt rá. Elhatározta, hogy Jézus igéi szerint kö</w:t>
      </w:r>
      <w:r>
        <w:rPr>
          <w:sz w:val="24"/>
          <w:szCs w:val="24"/>
        </w:rPr>
        <w:t>lcsönös szeretetben akar élni. „Ő majd utat nyit nekünk” – mondogatta. Az elmúlt évek alatt közreműködésével olyan közösség született és erősödött meg, amelyhez ma több százezren tartoznak: a legkülönbözőbb társadalmi rétegekhez és különböző korosztályokho</w:t>
      </w:r>
      <w:r>
        <w:rPr>
          <w:sz w:val="24"/>
          <w:szCs w:val="24"/>
        </w:rPr>
        <w:t>z tartozó emberek, nyomornegyedekben lakók és jómódúak, akik a szegényebbek szolgálatába álltak. Így olyan szociális művek létesültek, amelyek több városban is megváltoztatták a nyomornegyedek arcát. Egy kicsiny, egységes „nép” jött létre, mely azóta is az</w:t>
      </w:r>
      <w:r>
        <w:rPr>
          <w:sz w:val="24"/>
          <w:szCs w:val="24"/>
        </w:rPr>
        <w:t>t bizonyítja, hogy az evangélium igaz. Ezt a „hozományt” vitte magával Ginetta, amikor átment az Égbe.</w:t>
      </w:r>
    </w:p>
    <w:p w14:paraId="55D377C6" w14:textId="77777777" w:rsidR="00000000" w:rsidRDefault="00C518D8">
      <w:pPr>
        <w:jc w:val="both"/>
        <w:rPr>
          <w:sz w:val="24"/>
          <w:szCs w:val="24"/>
        </w:rPr>
      </w:pPr>
    </w:p>
    <w:p w14:paraId="2CA6DB4B" w14:textId="77777777" w:rsidR="00000000" w:rsidRDefault="00C518D8">
      <w:pPr>
        <w:jc w:val="both"/>
        <w:rPr>
          <w:sz w:val="24"/>
          <w:szCs w:val="24"/>
        </w:rPr>
      </w:pPr>
    </w:p>
    <w:p w14:paraId="1837A976" w14:textId="77777777" w:rsidR="00000000" w:rsidRDefault="00C518D8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Chiara Lubich</w:t>
      </w: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A229" w14:textId="77777777" w:rsidR="00000000" w:rsidRDefault="00C518D8">
      <w:r>
        <w:separator/>
      </w:r>
    </w:p>
  </w:endnote>
  <w:endnote w:type="continuationSeparator" w:id="0">
    <w:p w14:paraId="4582FCC0" w14:textId="77777777" w:rsidR="00000000" w:rsidRDefault="00C5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C5D9" w14:textId="77777777" w:rsidR="00000000" w:rsidRDefault="00C518D8">
      <w:r>
        <w:separator/>
      </w:r>
    </w:p>
  </w:footnote>
  <w:footnote w:type="continuationSeparator" w:id="0">
    <w:p w14:paraId="4990C327" w14:textId="77777777" w:rsidR="00000000" w:rsidRDefault="00C518D8">
      <w:r>
        <w:continuationSeparator/>
      </w:r>
    </w:p>
  </w:footnote>
  <w:footnote w:id="1">
    <w:p w14:paraId="5933F123" w14:textId="77777777" w:rsidR="00000000" w:rsidRDefault="00C518D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mallCaps/>
        </w:rPr>
        <w:t>Tertullianus</w:t>
      </w:r>
      <w:r>
        <w:t xml:space="preserve">, </w:t>
      </w:r>
      <w:r>
        <w:rPr>
          <w:i/>
          <w:iCs/>
        </w:rPr>
        <w:t>Apologeticum</w:t>
      </w:r>
      <w:r>
        <w:t>, 39, 7.</w:t>
      </w:r>
    </w:p>
  </w:footnote>
  <w:footnote w:id="2">
    <w:p w14:paraId="38B6A1F5" w14:textId="77777777" w:rsidR="00000000" w:rsidRDefault="00C518D8">
      <w:pPr>
        <w:pStyle w:val="Lbjegyzetszveg"/>
      </w:pPr>
      <w:r>
        <w:rPr>
          <w:rStyle w:val="Lbjegyzet-hivatkozs"/>
        </w:rPr>
        <w:footnoteRef/>
      </w:r>
      <w:r>
        <w:t>vö. 1 Kor 9,16.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518D8"/>
    <w:rsid w:val="00C5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05DA5"/>
  <w14:defaultImageDpi w14:val="0"/>
  <w15:docId w15:val="{223C01E4-8862-461A-A86C-CA143CE6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right"/>
      <w:outlineLvl w:val="0"/>
    </w:pPr>
    <w:rPr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Jegyzethivatkozs">
    <w:name w:val="annotation reference"/>
    <w:basedOn w:val="Bekezdsalapbettpusa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="Times New Roman" w:hAnsi="Times New Roman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3788</Characters>
  <Application>Microsoft Office Word</Application>
  <DocSecurity>0</DocSecurity>
  <Lines>31</Lines>
  <Paragraphs>8</Paragraphs>
  <ScaleCrop>false</ScaleCrop>
  <Company>Alleluja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2008</dc:title>
  <dc:subject/>
  <dc:creator>Alleluja</dc:creator>
  <cp:keywords/>
  <dc:description/>
  <cp:lastModifiedBy>Sándor Bodnár</cp:lastModifiedBy>
  <cp:revision>2</cp:revision>
  <cp:lastPrinted>2008-01-10T10:47:00Z</cp:lastPrinted>
  <dcterms:created xsi:type="dcterms:W3CDTF">2021-06-23T13:08:00Z</dcterms:created>
  <dcterms:modified xsi:type="dcterms:W3CDTF">2021-06-23T13:08:00Z</dcterms:modified>
</cp:coreProperties>
</file>