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0F0A" w14:textId="77777777" w:rsidR="00000000" w:rsidRDefault="00D9358D">
      <w:pPr>
        <w:pStyle w:val="Cmsor1"/>
      </w:pPr>
      <w:r>
        <w:t>az élet igéje, 2007. május</w:t>
      </w:r>
    </w:p>
    <w:p w14:paraId="1AE6BC97" w14:textId="77777777" w:rsidR="00000000" w:rsidRDefault="00D9358D">
      <w:pPr>
        <w:jc w:val="right"/>
        <w:rPr>
          <w:sz w:val="24"/>
          <w:szCs w:val="24"/>
        </w:rPr>
      </w:pPr>
    </w:p>
    <w:p w14:paraId="20DDAB0C" w14:textId="77777777" w:rsidR="00000000" w:rsidRDefault="00D9358D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„Arról tudják majd meg rólatok, hogy a tanítványaim vagytok, hogy szeretettel vagytok egymás iránt.” </w:t>
      </w:r>
      <w:r>
        <w:rPr>
          <w:b/>
          <w:bCs/>
          <w:sz w:val="24"/>
          <w:szCs w:val="24"/>
        </w:rPr>
        <w:t>(Jn 13,35)</w:t>
      </w:r>
    </w:p>
    <w:p w14:paraId="72F7BC0E" w14:textId="77777777" w:rsidR="00000000" w:rsidRDefault="00D9358D">
      <w:pPr>
        <w:jc w:val="both"/>
        <w:rPr>
          <w:sz w:val="24"/>
          <w:szCs w:val="24"/>
        </w:rPr>
      </w:pPr>
    </w:p>
    <w:p w14:paraId="24F656FB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Jézus asztalhoz ült barátaival. Mielő</w:t>
      </w:r>
      <w:r>
        <w:rPr>
          <w:sz w:val="24"/>
          <w:szCs w:val="24"/>
        </w:rPr>
        <w:t>tt elhagyta ezt a világot, velük akarta elkölteni utolsó vacsoráját. A lehető legünnepélyesebb alkalom volt ez arra, hogy rájuk hagyja végrendeletét, mintegy utolsó akaratát: „Amint én szerettelek benneteket, úgy szeressétek ti is egymást!”</w:t>
      </w:r>
      <w:r>
        <w:rPr>
          <w:rStyle w:val="Lbjegyzet-hivatkozs"/>
          <w:sz w:val="24"/>
          <w:szCs w:val="24"/>
        </w:rPr>
        <w:footnoteReference w:id="1"/>
      </w:r>
      <w:r>
        <w:rPr>
          <w:sz w:val="24"/>
          <w:szCs w:val="24"/>
        </w:rPr>
        <w:t xml:space="preserve"> Ez </w:t>
      </w:r>
      <w:r>
        <w:rPr>
          <w:sz w:val="24"/>
          <w:szCs w:val="24"/>
        </w:rPr>
        <w:t>lett Jézus tanítványainak jellemző vonása évszázadokon át, ami alapján azonosítani lehetett őket, mindenki erről ismerte fel a keresztényeket!</w:t>
      </w:r>
    </w:p>
    <w:p w14:paraId="19739242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Már a kezdet kezdetén így volt. Az első jeruzsálemi közösség élete nagy tiszteletet és rokonszenvet váltott ki a </w:t>
      </w:r>
      <w:r>
        <w:rPr>
          <w:sz w:val="24"/>
          <w:szCs w:val="24"/>
        </w:rPr>
        <w:t>népből, éppen egységüknek</w:t>
      </w:r>
      <w:r>
        <w:rPr>
          <w:rStyle w:val="Lbjegyzet-hivatkozs"/>
          <w:sz w:val="24"/>
          <w:szCs w:val="24"/>
        </w:rPr>
        <w:footnoteReference w:id="2"/>
      </w:r>
      <w:r>
        <w:rPr>
          <w:sz w:val="24"/>
          <w:szCs w:val="24"/>
        </w:rPr>
        <w:t xml:space="preserve"> köszönhetően, olyannyira, hogy napról napra újak csatlakoztak hozzájuk.</w:t>
      </w:r>
      <w:r>
        <w:rPr>
          <w:rStyle w:val="Lbjegyzet-hivatkozs"/>
          <w:sz w:val="24"/>
          <w:szCs w:val="24"/>
        </w:rPr>
        <w:footnoteReference w:id="3"/>
      </w:r>
    </w:p>
    <w:p w14:paraId="01BEB4DD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Néhány évvel később Tertullianus, az egyik első keresztény író már idézte, amit a keresztényekről mondtak</w:t>
      </w:r>
      <w:r>
        <w:rPr>
          <w:sz w:val="24"/>
          <w:szCs w:val="24"/>
        </w:rPr>
        <w:t xml:space="preserve"> akkoriban: „Nézd, hogyan szeretik egymást, mennyire készek meghalni egymásért!”</w:t>
      </w:r>
      <w:r>
        <w:rPr>
          <w:rStyle w:val="Lbjegyzet-hivatkozs"/>
          <w:sz w:val="24"/>
          <w:szCs w:val="24"/>
        </w:rPr>
        <w:footnoteReference w:id="4"/>
      </w:r>
      <w:r>
        <w:rPr>
          <w:sz w:val="24"/>
          <w:szCs w:val="24"/>
        </w:rPr>
        <w:t xml:space="preserve"> Jézus szavai valósultak meg ezzel:</w:t>
      </w:r>
    </w:p>
    <w:p w14:paraId="0C2D2F52" w14:textId="77777777" w:rsidR="00000000" w:rsidRDefault="00D9358D">
      <w:pPr>
        <w:jc w:val="both"/>
        <w:rPr>
          <w:sz w:val="24"/>
          <w:szCs w:val="24"/>
        </w:rPr>
      </w:pPr>
    </w:p>
    <w:p w14:paraId="3C7D16A3" w14:textId="77777777" w:rsidR="00000000" w:rsidRDefault="00D9358D">
      <w:pPr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„Arról tudják majd meg rólatok, hogy a tanítvá</w:t>
      </w:r>
      <w:r>
        <w:rPr>
          <w:b/>
          <w:bCs/>
          <w:i/>
          <w:iCs/>
          <w:sz w:val="24"/>
          <w:szCs w:val="24"/>
        </w:rPr>
        <w:t>nyaim vagytok, hogy szeretettel vagytok egymás iránt.”</w:t>
      </w:r>
    </w:p>
    <w:p w14:paraId="25DA3E61" w14:textId="77777777" w:rsidR="00000000" w:rsidRDefault="00D9358D">
      <w:pPr>
        <w:jc w:val="both"/>
        <w:rPr>
          <w:sz w:val="24"/>
          <w:szCs w:val="24"/>
        </w:rPr>
      </w:pPr>
    </w:p>
    <w:p w14:paraId="4097CB42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 kölcsönös szeretet tehát „a keresztények mindennapos öltözéke, melyet – legyenek bár idősek vagy fiatalok, férfiak vagy nők, házasok vagy sem, felnőttek vagy gyerekek, betegek vagy egészségesek – mi</w:t>
      </w:r>
      <w:r>
        <w:rPr>
          <w:sz w:val="24"/>
          <w:szCs w:val="24"/>
        </w:rPr>
        <w:t>nden helyzetben magukra ölthetnek, hogy mindenütt és mindig az életükkel hirdessék Őt, akiben hisznek, akit szeretni akarnak”</w:t>
      </w:r>
      <w:r>
        <w:rPr>
          <w:rStyle w:val="Lbjegyzet-hivatkozs"/>
          <w:sz w:val="24"/>
          <w:szCs w:val="24"/>
        </w:rPr>
        <w:footnoteReference w:id="5"/>
      </w:r>
      <w:r>
        <w:rPr>
          <w:sz w:val="24"/>
          <w:szCs w:val="24"/>
        </w:rPr>
        <w:t>.</w:t>
      </w:r>
    </w:p>
    <w:p w14:paraId="1A5D6969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kölcsönös szeretetből születő </w:t>
      </w:r>
      <w:r>
        <w:rPr>
          <w:sz w:val="24"/>
          <w:szCs w:val="24"/>
        </w:rPr>
        <w:t>egységben Jézus tanítványai között mintegy visszatükröződik, láthatóvá válik Isten, aki magát Szeretetnek nyilatkoztatta ki: vagyis az egyház a Szentháromság ikonja.</w:t>
      </w:r>
      <w:r>
        <w:rPr>
          <w:rStyle w:val="Lbjegyzet-hivatkozs"/>
          <w:sz w:val="24"/>
          <w:szCs w:val="24"/>
        </w:rPr>
        <w:footnoteReference w:id="6"/>
      </w:r>
    </w:p>
    <w:p w14:paraId="0CA1B119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Az evangélium hirdetésének útja ez, ma még inkább, mint valaha. </w:t>
      </w:r>
      <w:r>
        <w:rPr>
          <w:sz w:val="24"/>
          <w:szCs w:val="24"/>
        </w:rPr>
        <w:t>A sok üres beszéd miatt összezavarodott társadalom inkább tanúságtevőket keres, mint tanítókat; példaképeket akar, nem csak szavakat. Könnyebben megszólítható ma a világ, ha szembesül az életre váltott evangéliummal, melyből új kapcsolatok születnek, a tes</w:t>
      </w:r>
      <w:r>
        <w:rPr>
          <w:sz w:val="24"/>
          <w:szCs w:val="24"/>
        </w:rPr>
        <w:t>tvériség és a szeretet jegyében.</w:t>
      </w:r>
    </w:p>
    <w:p w14:paraId="3213B84A" w14:textId="77777777" w:rsidR="00000000" w:rsidRDefault="00D9358D">
      <w:pPr>
        <w:jc w:val="both"/>
        <w:rPr>
          <w:sz w:val="24"/>
          <w:szCs w:val="24"/>
        </w:rPr>
      </w:pPr>
    </w:p>
    <w:p w14:paraId="3991CF2B" w14:textId="77777777" w:rsidR="00000000" w:rsidRDefault="00D9358D">
      <w:pPr>
        <w:jc w:val="both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„Arról tudják majd meg rólatok, hogy a tanítványaim vagytok, hogy szeretettel vagytok egymás iránt.”</w:t>
      </w:r>
    </w:p>
    <w:p w14:paraId="29C567C2" w14:textId="77777777" w:rsidR="00000000" w:rsidRDefault="00D9358D">
      <w:pPr>
        <w:jc w:val="both"/>
        <w:rPr>
          <w:sz w:val="24"/>
          <w:szCs w:val="24"/>
        </w:rPr>
      </w:pPr>
    </w:p>
    <w:p w14:paraId="152A4DBA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Hogyan éljük ezt az igét?</w:t>
      </w:r>
    </w:p>
    <w:p w14:paraId="12F4A0A8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Úgy, hogy élőn tartjuk magunk között a kölcsönös szeretetet, és „élő sejteket” hozunk létre mi</w:t>
      </w:r>
      <w:r>
        <w:rPr>
          <w:sz w:val="24"/>
          <w:szCs w:val="24"/>
        </w:rPr>
        <w:t>ndenütt.</w:t>
      </w:r>
    </w:p>
    <w:p w14:paraId="4DC3F677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Chiara Lubich írja: „Ha egy város legtávolabbi részein kigyulladna az a tűz, melyet Jézus hozott a földre, s ez a tűz, hála a lakosok jóakaratának, ellenállna a világ fagyának: hamarosan az egész várost elborítaná az isteni szeretet lángja.</w:t>
      </w:r>
    </w:p>
    <w:p w14:paraId="71D31E3A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Az a t</w:t>
      </w:r>
      <w:r>
        <w:rPr>
          <w:sz w:val="24"/>
          <w:szCs w:val="24"/>
        </w:rPr>
        <w:t>űz, amelyet Jézus e földre hozott, Ő maga, a szeretet. Olyan szeretet, amely nemcsak Istennel egyesíti a lelkeket, hanem egymással is. (…)</w:t>
      </w:r>
    </w:p>
    <w:p w14:paraId="4B3B7F98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Ha ketten vagy hárman egyesülnek Krisztus nevében, és meg merik vallani egymásnak – szégyenkezés nélkül, határozottan</w:t>
      </w:r>
      <w:r>
        <w:rPr>
          <w:sz w:val="24"/>
          <w:szCs w:val="24"/>
        </w:rPr>
        <w:t xml:space="preserve"> –, hogy Istent akarják szeretni, s eszményükké a Krisztusban megélt egységet teszik, akkor ez hatalmas isteni erő a világban.</w:t>
      </w:r>
    </w:p>
    <w:p w14:paraId="449AD30B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Minden városban lesznek ilyen lelkek: a családokban férj és feleség, fiú és apa, anyós és meny. Megtalálhatjuk őket a plébániákon</w:t>
      </w:r>
      <w:r>
        <w:rPr>
          <w:sz w:val="24"/>
          <w:szCs w:val="24"/>
        </w:rPr>
        <w:t>, az iskolákban, az irodákban s bármely más közösségben.</w:t>
      </w:r>
    </w:p>
    <w:p w14:paraId="029F2B43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>Nem szükséges, hogy már szentek legyenek, mert Jézus akkor azt mondta volna. Elég csak Krisztus nevében egyesülniük, és soha nem engedni ebből az egységből. Természetesen nem maradnak sokáig ketten v</w:t>
      </w:r>
      <w:r>
        <w:rPr>
          <w:sz w:val="24"/>
          <w:szCs w:val="24"/>
        </w:rPr>
        <w:t>agy hárman, mert a szeretet magától terjed, mégpedig hihetetlen méretekben.</w:t>
      </w:r>
    </w:p>
    <w:p w14:paraId="2F4B49C9" w14:textId="77777777" w:rsidR="00000000" w:rsidRDefault="00D9358D">
      <w:pPr>
        <w:ind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Minden kis sejt – a föld bármely pontján is éleszti fel Isten – szükségképpen elszaporodik, és a Gondviselés szétosztja ezeket a lángokat, ezeket a lánglelkeket oda, ahova akarja, </w:t>
      </w:r>
      <w:r>
        <w:rPr>
          <w:sz w:val="24"/>
          <w:szCs w:val="24"/>
        </w:rPr>
        <w:t>hogy több helyen melengesse a világot az isteni szeretet, és feléledjen a remény.”</w:t>
      </w:r>
      <w:r>
        <w:rPr>
          <w:rStyle w:val="Lbjegyzet-hivatkozs"/>
          <w:sz w:val="24"/>
          <w:szCs w:val="24"/>
        </w:rPr>
        <w:footnoteReference w:id="7"/>
      </w:r>
    </w:p>
    <w:p w14:paraId="765A7072" w14:textId="77777777" w:rsidR="00000000" w:rsidRDefault="00D9358D">
      <w:pPr>
        <w:ind w:firstLine="425"/>
        <w:jc w:val="both"/>
        <w:rPr>
          <w:sz w:val="24"/>
          <w:szCs w:val="24"/>
        </w:rPr>
      </w:pPr>
    </w:p>
    <w:p w14:paraId="0698C0C0" w14:textId="77777777" w:rsidR="00000000" w:rsidRDefault="00D9358D">
      <w:pPr>
        <w:ind w:right="1692"/>
        <w:jc w:val="righ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Fabio Ciardi és Gabriella Fallacara</w:t>
      </w:r>
    </w:p>
    <w:sectPr w:rsidR="0000000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A219" w14:textId="77777777" w:rsidR="00000000" w:rsidRDefault="00D9358D">
      <w:r>
        <w:separator/>
      </w:r>
    </w:p>
  </w:endnote>
  <w:endnote w:type="continuationSeparator" w:id="0">
    <w:p w14:paraId="0DA2BDAD" w14:textId="77777777" w:rsidR="00000000" w:rsidRDefault="00D9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738A1" w14:textId="77777777" w:rsidR="00000000" w:rsidRDefault="00D9358D">
      <w:r>
        <w:separator/>
      </w:r>
    </w:p>
  </w:footnote>
  <w:footnote w:type="continuationSeparator" w:id="0">
    <w:p w14:paraId="20F2FE4A" w14:textId="77777777" w:rsidR="00000000" w:rsidRDefault="00D9358D">
      <w:r>
        <w:continuationSeparator/>
      </w:r>
    </w:p>
  </w:footnote>
  <w:footnote w:id="1">
    <w:p w14:paraId="305F5232" w14:textId="77777777" w:rsidR="00000000" w:rsidRDefault="00D9358D">
      <w:pPr>
        <w:pStyle w:val="Lbjegyzetszveg"/>
      </w:pPr>
      <w:r>
        <w:rPr>
          <w:rStyle w:val="Lbjegyzet-hivatkozs"/>
        </w:rPr>
        <w:footnoteRef/>
      </w:r>
      <w:r>
        <w:t xml:space="preserve"> Jn 13,34</w:t>
      </w:r>
    </w:p>
  </w:footnote>
  <w:footnote w:id="2">
    <w:p w14:paraId="53E10993" w14:textId="77777777" w:rsidR="00000000" w:rsidRDefault="00D9358D">
      <w:pPr>
        <w:pStyle w:val="Lbjegyzetszveg"/>
      </w:pPr>
      <w:r>
        <w:rPr>
          <w:rStyle w:val="Lbjegyzet-hivatkozs"/>
        </w:rPr>
        <w:footnoteRef/>
      </w:r>
      <w:r>
        <w:t xml:space="preserve"> vö. ApCsel 2,46-47; 4,32; 5,13</w:t>
      </w:r>
    </w:p>
  </w:footnote>
  <w:footnote w:id="3">
    <w:p w14:paraId="7B393C31" w14:textId="77777777" w:rsidR="00000000" w:rsidRDefault="00D9358D">
      <w:pPr>
        <w:pStyle w:val="Lbjegyzetszveg"/>
      </w:pPr>
      <w:r>
        <w:rPr>
          <w:rStyle w:val="Lbjegyzet-hivatkozs"/>
        </w:rPr>
        <w:footnoteRef/>
      </w:r>
      <w:r>
        <w:t xml:space="preserve"> vö. ApCsel 2,47</w:t>
      </w:r>
    </w:p>
  </w:footnote>
  <w:footnote w:id="4">
    <w:p w14:paraId="5DC7244D" w14:textId="77777777" w:rsidR="00000000" w:rsidRDefault="00D935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i/>
          <w:iCs/>
        </w:rPr>
        <w:t xml:space="preserve">Apologeticum, </w:t>
      </w:r>
      <w:r>
        <w:t>39,7</w:t>
      </w:r>
    </w:p>
  </w:footnote>
  <w:footnote w:id="5">
    <w:p w14:paraId="3BC88B98" w14:textId="77777777" w:rsidR="00000000" w:rsidRDefault="00D935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smallCaps/>
        </w:rPr>
        <w:t>C. Lubich</w:t>
      </w:r>
      <w:r>
        <w:t xml:space="preserve">, </w:t>
      </w:r>
      <w:r>
        <w:rPr>
          <w:i/>
          <w:iCs/>
        </w:rPr>
        <w:t xml:space="preserve">L’abito dei cristiani </w:t>
      </w:r>
      <w:r>
        <w:t xml:space="preserve">in </w:t>
      </w:r>
      <w:r>
        <w:rPr>
          <w:i/>
          <w:iCs/>
        </w:rPr>
        <w:t xml:space="preserve">La dottrina spirituale, </w:t>
      </w:r>
      <w:r>
        <w:t>„Cittá Nuova”, Róma 2006, 139. o.</w:t>
      </w:r>
    </w:p>
  </w:footnote>
  <w:footnote w:id="6">
    <w:p w14:paraId="17A01618" w14:textId="77777777" w:rsidR="00000000" w:rsidRDefault="00D9358D">
      <w:pPr>
        <w:pStyle w:val="Lbjegyzetszveg"/>
      </w:pPr>
      <w:r>
        <w:rPr>
          <w:rStyle w:val="Lbjegyzet-hivatkozs"/>
        </w:rPr>
        <w:footnoteRef/>
      </w:r>
      <w:r>
        <w:t xml:space="preserve"> vö. </w:t>
      </w:r>
      <w:r>
        <w:rPr>
          <w:i/>
          <w:iCs/>
        </w:rPr>
        <w:t xml:space="preserve">Lumen Gentium, </w:t>
      </w:r>
      <w:r>
        <w:t>2-4</w:t>
      </w:r>
    </w:p>
  </w:footnote>
  <w:footnote w:id="7">
    <w:p w14:paraId="737C6252" w14:textId="77777777" w:rsidR="00000000" w:rsidRDefault="00D9358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smallCaps/>
        </w:rPr>
        <w:t xml:space="preserve">C. Lubich, </w:t>
      </w:r>
      <w:r>
        <w:rPr>
          <w:i/>
          <w:iCs/>
        </w:rPr>
        <w:t xml:space="preserve">Ha tüzet gyújtanánk, </w:t>
      </w:r>
      <w:r>
        <w:t>„Új Város”, Budapest 2001, 106-107. o.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9358D"/>
    <w:rsid w:val="00D9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9FDE"/>
  <w14:defaultImageDpi w14:val="0"/>
  <w15:docId w15:val="{803112B4-013A-4137-A8EF-903100A6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jc w:val="right"/>
      <w:outlineLvl w:val="0"/>
    </w:pPr>
    <w:rPr>
      <w:sz w:val="24"/>
      <w:szCs w:val="24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Életige, 2007</dc:title>
  <dc:subject/>
  <dc:creator>Judit</dc:creator>
  <cp:keywords/>
  <dc:description/>
  <cp:lastModifiedBy>Sándor Bodnár</cp:lastModifiedBy>
  <cp:revision>2</cp:revision>
  <dcterms:created xsi:type="dcterms:W3CDTF">2021-06-23T13:13:00Z</dcterms:created>
  <dcterms:modified xsi:type="dcterms:W3CDTF">2021-06-23T13:13:00Z</dcterms:modified>
</cp:coreProperties>
</file>