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1550F" w14:textId="77777777" w:rsidR="00000000" w:rsidRDefault="00F173A2">
      <w:pPr>
        <w:pStyle w:val="Cmsor1"/>
      </w:pPr>
      <w:r>
        <w:t>Életige, 2007. március</w:t>
      </w:r>
    </w:p>
    <w:p w14:paraId="06F9229A" w14:textId="77777777" w:rsidR="00000000" w:rsidRDefault="00F173A2">
      <w:pPr>
        <w:jc w:val="right"/>
        <w:rPr>
          <w:sz w:val="24"/>
          <w:szCs w:val="24"/>
        </w:rPr>
      </w:pPr>
    </w:p>
    <w:p w14:paraId="1EB1350E" w14:textId="77777777" w:rsidR="00000000" w:rsidRDefault="00F173A2">
      <w:pPr>
        <w:jc w:val="both"/>
        <w:rPr>
          <w:sz w:val="24"/>
          <w:szCs w:val="24"/>
        </w:rPr>
      </w:pPr>
    </w:p>
    <w:p w14:paraId="0F4D1C07" w14:textId="77777777" w:rsidR="00000000" w:rsidRDefault="00F173A2">
      <w:pPr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„Akik könnyek között vetnek, majd ujjongva aratnak.” (Zsolt 126</w:t>
      </w:r>
      <w:r>
        <w:rPr>
          <w:b/>
          <w:bCs/>
          <w:i/>
          <w:iCs/>
        </w:rPr>
        <w:t>(125)</w:t>
      </w:r>
      <w:r>
        <w:rPr>
          <w:b/>
          <w:bCs/>
          <w:i/>
          <w:iCs/>
          <w:sz w:val="24"/>
          <w:szCs w:val="24"/>
        </w:rPr>
        <w:t>,5)</w:t>
      </w:r>
    </w:p>
    <w:p w14:paraId="1C38E607" w14:textId="77777777" w:rsidR="00000000" w:rsidRDefault="00F173A2">
      <w:pPr>
        <w:jc w:val="both"/>
        <w:rPr>
          <w:sz w:val="24"/>
          <w:szCs w:val="24"/>
        </w:rPr>
      </w:pPr>
    </w:p>
    <w:p w14:paraId="4DDD57D5" w14:textId="77777777" w:rsidR="00000000" w:rsidRDefault="00F173A2">
      <w:pPr>
        <w:ind w:firstLine="425"/>
        <w:jc w:val="both"/>
        <w:rPr>
          <w:sz w:val="24"/>
          <w:szCs w:val="24"/>
        </w:rPr>
      </w:pPr>
      <w:r>
        <w:rPr>
          <w:sz w:val="24"/>
          <w:szCs w:val="24"/>
        </w:rPr>
        <w:t>Isten kiszabadította népét a babiloni fogságból, és folytonosan közbeavatkozott történelme során, valahá</w:t>
      </w:r>
      <w:r>
        <w:rPr>
          <w:sz w:val="24"/>
          <w:szCs w:val="24"/>
        </w:rPr>
        <w:t>nyszor levertnek, bátortalannak, rosszrahajlónak látta övéit. E havi igénk annak a zsoltárnak egyik sora, ami ezt a határozott és egyértelmű közbelépést énekli meg.</w:t>
      </w:r>
    </w:p>
    <w:p w14:paraId="3F7F768C" w14:textId="77777777" w:rsidR="00000000" w:rsidRDefault="00F173A2">
      <w:pPr>
        <w:ind w:firstLine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kép találó, tömören kifejezi mindegyikünk történetét: egyrészről ott a bizonytalanság, a </w:t>
      </w:r>
      <w:r>
        <w:rPr>
          <w:sz w:val="24"/>
          <w:szCs w:val="24"/>
        </w:rPr>
        <w:t>magvető aggodalma, aki a földre bízza a vetést (vajon jó lesz-e az időjárás? kikel-e a mag?), másrészről ott a várva várt aratás öröme.</w:t>
      </w:r>
    </w:p>
    <w:p w14:paraId="17F3AF7B" w14:textId="77777777" w:rsidR="00000000" w:rsidRDefault="00F173A2">
      <w:pPr>
        <w:jc w:val="both"/>
        <w:rPr>
          <w:sz w:val="24"/>
          <w:szCs w:val="24"/>
        </w:rPr>
      </w:pPr>
    </w:p>
    <w:p w14:paraId="7A9FB442" w14:textId="77777777" w:rsidR="00000000" w:rsidRDefault="00F173A2">
      <w:pPr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„Akik könnyek között vetnek, majd ujjongva aratnak.” (Zsolt 126</w:t>
      </w:r>
      <w:r>
        <w:rPr>
          <w:b/>
          <w:bCs/>
          <w:i/>
          <w:iCs/>
        </w:rPr>
        <w:t>(125)</w:t>
      </w:r>
      <w:r>
        <w:rPr>
          <w:b/>
          <w:bCs/>
          <w:i/>
          <w:iCs/>
          <w:sz w:val="24"/>
          <w:szCs w:val="24"/>
        </w:rPr>
        <w:t>,5)</w:t>
      </w:r>
    </w:p>
    <w:p w14:paraId="5BD3391E" w14:textId="77777777" w:rsidR="00000000" w:rsidRDefault="00F173A2">
      <w:pPr>
        <w:jc w:val="both"/>
        <w:rPr>
          <w:sz w:val="24"/>
          <w:szCs w:val="24"/>
        </w:rPr>
      </w:pPr>
    </w:p>
    <w:p w14:paraId="51431887" w14:textId="77777777" w:rsidR="00000000" w:rsidRDefault="00F173A2">
      <w:pPr>
        <w:ind w:firstLine="425"/>
        <w:jc w:val="both"/>
        <w:rPr>
          <w:sz w:val="24"/>
          <w:szCs w:val="24"/>
        </w:rPr>
      </w:pPr>
      <w:r>
        <w:rPr>
          <w:sz w:val="24"/>
          <w:szCs w:val="24"/>
        </w:rPr>
        <w:t>Amikor az életünkre gondolunk – írja Chiara Lu</w:t>
      </w:r>
      <w:r>
        <w:rPr>
          <w:sz w:val="24"/>
          <w:szCs w:val="24"/>
        </w:rPr>
        <w:t>bich –, sokszor idillinek képzeljük el: „Jönnek a napok egymás után, elgondoljuk, hogy egyik jobb lesz, mint a másik: jól végzett munka, tanulás, pihenés, meghitt órák családi körben, találkozások, összejövetelek, sport, szórakozás, minden rendben és békéb</w:t>
      </w:r>
      <w:r>
        <w:rPr>
          <w:sz w:val="24"/>
          <w:szCs w:val="24"/>
        </w:rPr>
        <w:t>en. (…) Az ember szívében mindig ott a remény, hogy a dolgok így történnek, és csakis így.</w:t>
      </w:r>
    </w:p>
    <w:p w14:paraId="1610CAB6" w14:textId="77777777" w:rsidR="00000000" w:rsidRDefault="00F173A2">
      <w:pPr>
        <w:pStyle w:val="Szvegtrzs2"/>
        <w:ind w:firstLine="425"/>
      </w:pPr>
      <w:r>
        <w:t xml:space="preserve">Valójában azonban </w:t>
      </w:r>
      <w:r>
        <w:rPr>
          <w:i/>
          <w:iCs/>
        </w:rPr>
        <w:t>szent utazásunk</w:t>
      </w:r>
      <w:r>
        <w:t xml:space="preserve"> másképp alakul, mert Isten másnak akarja. Megenged vagy akar bizonyos dolgokat, hogy létünk igazi értelmet nyerjen, és elérjük azt,</w:t>
      </w:r>
      <w:r>
        <w:t xml:space="preserve"> amiért teremtettünk. Ezért érnek bennünket fizikai és lelki fájdalmak, betegségek, ezer meg ezer szenvedés, melyek inkább szólnak a halálról, mint az életről.</w:t>
      </w:r>
    </w:p>
    <w:p w14:paraId="1D3D6F87" w14:textId="77777777" w:rsidR="00000000" w:rsidRDefault="00F173A2">
      <w:pPr>
        <w:ind w:firstLine="425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Hogy miért? Isten talán a halált akarja? Nem. Isten az életet szereti, a teljes és gyümölcsöző é</w:t>
      </w:r>
      <w:r>
        <w:rPr>
          <w:sz w:val="24"/>
          <w:szCs w:val="24"/>
        </w:rPr>
        <w:t>letet, amit minden jóra, biztonságra, békére törekvésünkkel együtt sem tudnánk mi elképzelni soha.”</w:t>
      </w:r>
      <w:r>
        <w:rPr>
          <w:rStyle w:val="Lbjegyzet-hivatkozs"/>
          <w:sz w:val="24"/>
          <w:szCs w:val="24"/>
        </w:rPr>
        <w:footnoteReference w:id="1"/>
      </w:r>
    </w:p>
    <w:p w14:paraId="58EC457D" w14:textId="77777777" w:rsidR="00000000" w:rsidRDefault="00F173A2">
      <w:pPr>
        <w:ind w:firstLine="425"/>
        <w:jc w:val="both"/>
        <w:rPr>
          <w:sz w:val="24"/>
          <w:szCs w:val="24"/>
        </w:rPr>
      </w:pPr>
      <w:r>
        <w:rPr>
          <w:sz w:val="24"/>
          <w:szCs w:val="24"/>
        </w:rPr>
        <w:t>Ő a magvető, aki elhinti a magot, és annak el kell halnia: ebben ott van minden fáradozásunk és szenvedésünk jel</w:t>
      </w:r>
      <w:r>
        <w:rPr>
          <w:sz w:val="24"/>
          <w:szCs w:val="24"/>
        </w:rPr>
        <w:t>e; és Ő az arató is, aki begyűjti a halálból fakadó életet, a duzzadó kalászt: „Ha a búzaszem nem hull a földbe és nem hal el, egyedül marad; de ha elhal, sok termést hoz.”</w:t>
      </w:r>
      <w:r>
        <w:rPr>
          <w:rStyle w:val="Lbjegyzet-hivatkozs"/>
          <w:sz w:val="24"/>
          <w:szCs w:val="24"/>
        </w:rPr>
        <w:footnoteReference w:id="2"/>
      </w:r>
    </w:p>
    <w:p w14:paraId="7B32B621" w14:textId="77777777" w:rsidR="00000000" w:rsidRDefault="00F173A2">
      <w:pPr>
        <w:ind w:firstLine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„Isten azt akarja, hogy életünk folyamán megtapasztaljunk egy bizonyos </w:t>
      </w:r>
      <w:r>
        <w:rPr>
          <w:sz w:val="24"/>
          <w:szCs w:val="24"/>
        </w:rPr>
        <w:t>halált, vagy olykor többféle halált, azért, (…) hogy gyümölcsöt teremjünk, és nem hozzánk, egyszerű emberekhez, hanem őhozzá méltó műveket alkossunk. Ez az életünk értelme az Ő szemében: gazdag, teljes, túláradó élet, olyan élet, mely az övét tükrözi.”</w:t>
      </w:r>
      <w:r>
        <w:rPr>
          <w:rStyle w:val="Lbjegyzet-hivatkozs"/>
          <w:sz w:val="24"/>
          <w:szCs w:val="24"/>
        </w:rPr>
        <w:footnoteReference w:id="3"/>
      </w:r>
    </w:p>
    <w:p w14:paraId="63821B81" w14:textId="77777777" w:rsidR="00000000" w:rsidRDefault="00F173A2">
      <w:pPr>
        <w:jc w:val="both"/>
        <w:rPr>
          <w:sz w:val="24"/>
          <w:szCs w:val="24"/>
        </w:rPr>
      </w:pPr>
    </w:p>
    <w:p w14:paraId="11660619" w14:textId="77777777" w:rsidR="00000000" w:rsidRDefault="00F173A2">
      <w:pPr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„Akik könnyek között vetnek, majd ujjongva aratnak.”</w:t>
      </w:r>
    </w:p>
    <w:p w14:paraId="1204A595" w14:textId="77777777" w:rsidR="00000000" w:rsidRDefault="00F173A2">
      <w:pPr>
        <w:jc w:val="both"/>
        <w:rPr>
          <w:sz w:val="24"/>
          <w:szCs w:val="24"/>
        </w:rPr>
      </w:pPr>
    </w:p>
    <w:p w14:paraId="5750F6F5" w14:textId="77777777" w:rsidR="00000000" w:rsidRDefault="00F173A2">
      <w:pPr>
        <w:ind w:firstLine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Hogyan éljük ezt az igét? Chiara, aki Isten igéjének valóra váltására tanít minket, így ír: „Értéket kell tulajdonítanunk a fájdalomnak. Legyen az kicsi vagy nagy, oda kell figyelnünk rá </w:t>
      </w:r>
      <w:r>
        <w:rPr>
          <w:sz w:val="24"/>
          <w:szCs w:val="24"/>
        </w:rPr>
        <w:t>(…). Különösen értékelnünk kell azt a fáradságot, azt az áldozatot, amely együtt jár a felebarát iránti szeretettel, mert ez jellegzetes kötelességünk.”</w:t>
      </w:r>
      <w:r>
        <w:rPr>
          <w:rStyle w:val="Lbjegyzet-hivatkozs"/>
          <w:sz w:val="24"/>
          <w:szCs w:val="24"/>
        </w:rPr>
        <w:footnoteReference w:id="4"/>
      </w:r>
      <w:r>
        <w:rPr>
          <w:sz w:val="24"/>
          <w:szCs w:val="24"/>
        </w:rPr>
        <w:t xml:space="preserve"> Olyan fájdalom ez, mely életet szül.</w:t>
      </w:r>
    </w:p>
    <w:p w14:paraId="581EE6D3" w14:textId="77777777" w:rsidR="00000000" w:rsidRDefault="00F173A2">
      <w:pPr>
        <w:ind w:firstLine="425"/>
        <w:jc w:val="both"/>
        <w:rPr>
          <w:sz w:val="24"/>
          <w:szCs w:val="24"/>
        </w:rPr>
      </w:pPr>
      <w:r>
        <w:rPr>
          <w:sz w:val="24"/>
          <w:szCs w:val="24"/>
        </w:rPr>
        <w:t>Tegyünk mindent úgy, hogy soha ne adjuk fel, akkor</w:t>
      </w:r>
      <w:r>
        <w:rPr>
          <w:sz w:val="24"/>
          <w:szCs w:val="24"/>
        </w:rPr>
        <w:t xml:space="preserve"> sem, ha nem látjuk munkánk eredményét! Tudnunk kell, hogy időnként „más az, aki vet, és más az, aki arat”</w:t>
      </w:r>
      <w:r>
        <w:rPr>
          <w:rStyle w:val="Lbjegyzet-hivatkozs"/>
          <w:sz w:val="24"/>
          <w:szCs w:val="24"/>
        </w:rPr>
        <w:footnoteReference w:id="5"/>
      </w:r>
      <w:r>
        <w:rPr>
          <w:sz w:val="24"/>
          <w:szCs w:val="24"/>
        </w:rPr>
        <w:t xml:space="preserve">. Mi lesz </w:t>
      </w:r>
      <w:r>
        <w:rPr>
          <w:sz w:val="24"/>
          <w:szCs w:val="24"/>
        </w:rPr>
        <w:lastRenderedPageBreak/>
        <w:t>gyermekeinkkel, akiket a lehető legjobban próbálunk nevelni? Ki látja majd meg társadalmi és politikai ténykedésünk gyümölcsét? S</w:t>
      </w:r>
      <w:r>
        <w:rPr>
          <w:sz w:val="24"/>
          <w:szCs w:val="24"/>
        </w:rPr>
        <w:t>oha ne fáradjunk bele, hogy jót tegyünk</w:t>
      </w:r>
      <w:r>
        <w:rPr>
          <w:rStyle w:val="Lbjegyzet-hivatkozs"/>
          <w:sz w:val="24"/>
          <w:szCs w:val="24"/>
        </w:rPr>
        <w:footnoteReference w:id="6"/>
      </w:r>
      <w:r>
        <w:rPr>
          <w:sz w:val="24"/>
          <w:szCs w:val="24"/>
        </w:rPr>
        <w:t>, mert meglesz a gyümölcse mindenképpen. Lehet, hogy idővel, vagy máshol, de egyszer csak termőre fordul.</w:t>
      </w:r>
    </w:p>
    <w:p w14:paraId="348A13FB" w14:textId="77777777" w:rsidR="00000000" w:rsidRDefault="00F173A2">
      <w:pPr>
        <w:ind w:firstLine="425"/>
        <w:jc w:val="both"/>
        <w:rPr>
          <w:sz w:val="24"/>
          <w:szCs w:val="24"/>
        </w:rPr>
      </w:pPr>
    </w:p>
    <w:p w14:paraId="302D4A2B" w14:textId="77777777" w:rsidR="00000000" w:rsidRDefault="00F173A2">
      <w:pPr>
        <w:ind w:firstLine="425"/>
        <w:jc w:val="both"/>
        <w:rPr>
          <w:sz w:val="24"/>
          <w:szCs w:val="24"/>
        </w:rPr>
      </w:pPr>
      <w:r>
        <w:rPr>
          <w:sz w:val="24"/>
          <w:szCs w:val="24"/>
        </w:rPr>
        <w:t>Van egy remény, bizonyosság, biztos cél életünk folyamán: az időnként nyomasztó nehézsé</w:t>
      </w:r>
      <w:r>
        <w:rPr>
          <w:sz w:val="24"/>
          <w:szCs w:val="24"/>
        </w:rPr>
        <w:t>gek, próbatételek és ellentétek nélkülözhetetlenek ahhoz, hogy örömre, boldogságra jussunk.</w:t>
      </w:r>
    </w:p>
    <w:p w14:paraId="5483201F" w14:textId="77777777" w:rsidR="00000000" w:rsidRDefault="00F173A2">
      <w:pPr>
        <w:ind w:firstLine="425"/>
        <w:jc w:val="both"/>
        <w:rPr>
          <w:sz w:val="24"/>
          <w:szCs w:val="24"/>
        </w:rPr>
      </w:pPr>
      <w:r>
        <w:rPr>
          <w:sz w:val="24"/>
          <w:szCs w:val="24"/>
        </w:rPr>
        <w:t>„Akkor hát előre! Tekintsünk messzebbre a fájdalmaknál! Ne csak a bizonytalanságot, a próbatételt nézzük… Lássuk meg az aratást, mert az is el fog következni!”</w:t>
      </w:r>
      <w:r>
        <w:rPr>
          <w:rStyle w:val="Lbjegyzet-hivatkozs"/>
          <w:sz w:val="24"/>
          <w:szCs w:val="24"/>
        </w:rPr>
        <w:footnoteReference w:id="7"/>
      </w:r>
    </w:p>
    <w:p w14:paraId="4574308F" w14:textId="77777777" w:rsidR="00000000" w:rsidRDefault="00F173A2">
      <w:pPr>
        <w:jc w:val="both"/>
        <w:rPr>
          <w:sz w:val="24"/>
          <w:szCs w:val="24"/>
        </w:rPr>
      </w:pPr>
    </w:p>
    <w:p w14:paraId="1577BBFD" w14:textId="77777777" w:rsidR="00000000" w:rsidRDefault="00F173A2">
      <w:pPr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„Akik könnyek között vetnek, majd ujjongva aratnak.”</w:t>
      </w:r>
    </w:p>
    <w:p w14:paraId="2D738AD0" w14:textId="77777777" w:rsidR="00000000" w:rsidRDefault="00F173A2">
      <w:pPr>
        <w:jc w:val="both"/>
        <w:rPr>
          <w:sz w:val="24"/>
          <w:szCs w:val="24"/>
        </w:rPr>
      </w:pPr>
    </w:p>
    <w:p w14:paraId="44A1265A" w14:textId="77777777" w:rsidR="00000000" w:rsidRDefault="00F173A2">
      <w:pPr>
        <w:pStyle w:val="Szvegtrzs"/>
        <w:ind w:firstLine="425"/>
        <w:jc w:val="both"/>
        <w:rPr>
          <w:sz w:val="24"/>
          <w:szCs w:val="24"/>
        </w:rPr>
      </w:pPr>
      <w:r>
        <w:rPr>
          <w:sz w:val="24"/>
          <w:szCs w:val="24"/>
        </w:rPr>
        <w:t>Patrícia, a huszonkét éves joghallgató egy főosztályvezető közvetlen munkatársa lett. Így mondta el történetét: „Már munkába állásomkor elhatároztam, hogy próbálom jól végezni a munkámat</w:t>
      </w:r>
      <w:r>
        <w:rPr>
          <w:sz w:val="24"/>
          <w:szCs w:val="24"/>
        </w:rPr>
        <w:t>, és odafigyelek a kapcsolataimra is a kollégákkal: érezzék, hogy értékelik őket.”</w:t>
      </w:r>
    </w:p>
    <w:p w14:paraId="75492DE6" w14:textId="77777777" w:rsidR="00000000" w:rsidRDefault="00F173A2">
      <w:pPr>
        <w:ind w:firstLine="425"/>
        <w:jc w:val="both"/>
        <w:rPr>
          <w:sz w:val="24"/>
          <w:szCs w:val="24"/>
        </w:rPr>
      </w:pPr>
      <w:r>
        <w:rPr>
          <w:sz w:val="24"/>
          <w:szCs w:val="24"/>
        </w:rPr>
        <w:t>Sokszor viszont az árral szemben kell megvédeni az elveinket, vállalva a következményeket. Patríciával is így történt: „Egy magas beosztású munkatársam bizonyos kiváltságoka</w:t>
      </w:r>
      <w:r>
        <w:rPr>
          <w:sz w:val="24"/>
          <w:szCs w:val="24"/>
        </w:rPr>
        <w:t>t élvezett, és az is nyilvánvaló volt, hogy tisztességtelenül viselkedik. Éreztem, hogy meg kell mondanom neki.”</w:t>
      </w:r>
    </w:p>
    <w:p w14:paraId="1372BD47" w14:textId="77777777" w:rsidR="00000000" w:rsidRDefault="00F173A2">
      <w:pPr>
        <w:ind w:firstLine="425"/>
        <w:jc w:val="both"/>
        <w:rPr>
          <w:sz w:val="24"/>
          <w:szCs w:val="24"/>
        </w:rPr>
      </w:pPr>
      <w:r>
        <w:rPr>
          <w:sz w:val="24"/>
          <w:szCs w:val="24"/>
        </w:rPr>
        <w:t>Mivel Patrícia kimondta véleményét, elbocsátották az állásából. „Borzasztóan szenvedtem, mégis nyugalom töltött el, mert tudtam, hogy így kelle</w:t>
      </w:r>
      <w:r>
        <w:rPr>
          <w:sz w:val="24"/>
          <w:szCs w:val="24"/>
        </w:rPr>
        <w:t>tt tennem.” Nem veszítette el a reményt, mindennél erősebb maradt benne a tudat, hogy van egy Atyja, akinek minden lehetséges, aki mindennél jobban szereti őt. A paraguayi gazdasági helyzetet és munkanélküliséget ismerve hihetetlennek tűnik, mégis – még az</w:t>
      </w:r>
      <w:r>
        <w:rPr>
          <w:sz w:val="24"/>
          <w:szCs w:val="24"/>
        </w:rPr>
        <w:t>nap este – két állásajánlattal is megkeresték. Sőt, az új munkája jobb, és inkább megfelel a végzettségének.</w:t>
      </w:r>
    </w:p>
    <w:p w14:paraId="33D415D9" w14:textId="77777777" w:rsidR="00000000" w:rsidRDefault="00F173A2">
      <w:pPr>
        <w:jc w:val="both"/>
        <w:outlineLvl w:val="0"/>
        <w:rPr>
          <w:i/>
          <w:iCs/>
          <w:sz w:val="24"/>
          <w:szCs w:val="24"/>
        </w:rPr>
      </w:pPr>
    </w:p>
    <w:p w14:paraId="6A57037D" w14:textId="77777777" w:rsidR="00000000" w:rsidRDefault="00F173A2">
      <w:pPr>
        <w:ind w:right="1134"/>
        <w:jc w:val="right"/>
        <w:outlineLvl w:val="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Fabio Ciardi és Gabriella Fallacara gondozásában</w:t>
      </w:r>
    </w:p>
    <w:sectPr w:rsidR="000000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F04B78" w14:textId="77777777" w:rsidR="00000000" w:rsidRDefault="00F173A2">
      <w:r>
        <w:separator/>
      </w:r>
    </w:p>
  </w:endnote>
  <w:endnote w:type="continuationSeparator" w:id="0">
    <w:p w14:paraId="4218AD98" w14:textId="77777777" w:rsidR="00000000" w:rsidRDefault="00F17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2DD490" w14:textId="77777777" w:rsidR="00000000" w:rsidRDefault="00F173A2">
      <w:r>
        <w:separator/>
      </w:r>
    </w:p>
  </w:footnote>
  <w:footnote w:type="continuationSeparator" w:id="0">
    <w:p w14:paraId="5496944D" w14:textId="77777777" w:rsidR="00000000" w:rsidRDefault="00F173A2">
      <w:r>
        <w:continuationSeparator/>
      </w:r>
    </w:p>
  </w:footnote>
  <w:footnote w:id="1">
    <w:p w14:paraId="205D27B3" w14:textId="77777777" w:rsidR="00000000" w:rsidRDefault="00F173A2">
      <w:pPr>
        <w:pStyle w:val="Lbjegyzetszveg"/>
      </w:pPr>
      <w:r>
        <w:rPr>
          <w:rStyle w:val="Lbjegyzet-hivatkozs"/>
        </w:rPr>
        <w:footnoteRef/>
      </w:r>
      <w:r>
        <w:t xml:space="preserve"> … </w:t>
      </w:r>
      <w:r>
        <w:rPr>
          <w:i/>
          <w:iCs/>
        </w:rPr>
        <w:t xml:space="preserve">Ami Odafönt van, </w:t>
      </w:r>
      <w:r>
        <w:t>Új Város, 1994, 77.o.</w:t>
      </w:r>
    </w:p>
  </w:footnote>
  <w:footnote w:id="2">
    <w:p w14:paraId="30C8BE64" w14:textId="77777777" w:rsidR="00000000" w:rsidRDefault="00F173A2">
      <w:pPr>
        <w:pStyle w:val="Lbjegyzetszveg"/>
      </w:pPr>
      <w:r>
        <w:rPr>
          <w:rStyle w:val="Lbjegyzet-hivatkozs"/>
        </w:rPr>
        <w:footnoteRef/>
      </w:r>
      <w:r>
        <w:t xml:space="preserve"> Jn 12,24</w:t>
      </w:r>
    </w:p>
  </w:footnote>
  <w:footnote w:id="3">
    <w:p w14:paraId="203CDD4B" w14:textId="77777777" w:rsidR="00000000" w:rsidRDefault="00F173A2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>
        <w:rPr>
          <w:i/>
          <w:iCs/>
        </w:rPr>
        <w:t>O</w:t>
      </w:r>
      <w:r>
        <w:rPr>
          <w:i/>
          <w:iCs/>
        </w:rPr>
        <w:t>p.cit</w:t>
      </w:r>
      <w:r>
        <w:t>, 78.o.</w:t>
      </w:r>
    </w:p>
  </w:footnote>
  <w:footnote w:id="4">
    <w:p w14:paraId="5A024D5A" w14:textId="77777777" w:rsidR="00000000" w:rsidRDefault="00F173A2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>
        <w:rPr>
          <w:i/>
          <w:iCs/>
        </w:rPr>
        <w:t>Ibid</w:t>
      </w:r>
      <w:r>
        <w:t>., 96.o.</w:t>
      </w:r>
    </w:p>
  </w:footnote>
  <w:footnote w:id="5">
    <w:p w14:paraId="255E5DFF" w14:textId="77777777" w:rsidR="00000000" w:rsidRDefault="00F173A2">
      <w:pPr>
        <w:pStyle w:val="Lbjegyzetszveg"/>
      </w:pPr>
      <w:r>
        <w:rPr>
          <w:rStyle w:val="Lbjegyzet-hivatkozs"/>
        </w:rPr>
        <w:footnoteRef/>
      </w:r>
      <w:r>
        <w:t xml:space="preserve"> Jn 4,37</w:t>
      </w:r>
    </w:p>
  </w:footnote>
  <w:footnote w:id="6">
    <w:p w14:paraId="3048D37C" w14:textId="77777777" w:rsidR="00000000" w:rsidRDefault="00F173A2">
      <w:pPr>
        <w:pStyle w:val="Lbjegyzetszveg"/>
      </w:pPr>
      <w:r>
        <w:rPr>
          <w:rStyle w:val="Lbjegyzet-hivatkozs"/>
        </w:rPr>
        <w:footnoteRef/>
      </w:r>
      <w:r>
        <w:t xml:space="preserve"> vö. Gal 6,9</w:t>
      </w:r>
    </w:p>
  </w:footnote>
  <w:footnote w:id="7">
    <w:p w14:paraId="74E5F956" w14:textId="77777777" w:rsidR="00000000" w:rsidRDefault="00F173A2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>
        <w:rPr>
          <w:i/>
          <w:iCs/>
        </w:rPr>
        <w:t>Op</w:t>
      </w:r>
      <w:r>
        <w:rPr>
          <w:i/>
          <w:iCs/>
        </w:rPr>
        <w:t>.cit</w:t>
      </w:r>
      <w:r>
        <w:t>., 79. o.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F173A2"/>
    <w:rsid w:val="00F17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4D83A7"/>
  <w14:defaultImageDpi w14:val="0"/>
  <w15:docId w15:val="{3F2C4F43-5321-4B9C-A72B-BDCA75B94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Cmsor1">
    <w:name w:val="heading 1"/>
    <w:basedOn w:val="Norml"/>
    <w:next w:val="Norml"/>
    <w:link w:val="Cmsor1Char"/>
    <w:uiPriority w:val="99"/>
    <w:qFormat/>
    <w:pPr>
      <w:keepNext/>
      <w:jc w:val="right"/>
      <w:outlineLvl w:val="0"/>
    </w:pPr>
    <w:rPr>
      <w:sz w:val="24"/>
      <w:szCs w:val="24"/>
    </w:rPr>
  </w:style>
  <w:style w:type="character" w:default="1" w:styleId="Bekezdsalapbettpusa">
    <w:name w:val="Default Paragraph Font"/>
    <w:uiPriority w:val="99"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Szvegtrzs2">
    <w:name w:val="Body Text 2"/>
    <w:basedOn w:val="Norml"/>
    <w:link w:val="Szvegtrzs2Char"/>
    <w:uiPriority w:val="99"/>
    <w:pPr>
      <w:ind w:firstLine="708"/>
      <w:jc w:val="both"/>
    </w:pPr>
    <w:rPr>
      <w:sz w:val="24"/>
      <w:szCs w:val="24"/>
    </w:rPr>
  </w:style>
  <w:style w:type="character" w:customStyle="1" w:styleId="Szvegtrzs2Char">
    <w:name w:val="Szövegtörzs 2 Char"/>
    <w:basedOn w:val="Bekezdsalapbettpusa"/>
    <w:link w:val="Szvegtrzs2"/>
    <w:uiPriority w:val="99"/>
    <w:semiHidden/>
    <w:rPr>
      <w:rFonts w:ascii="Times New Roman" w:hAnsi="Times New Roman" w:cs="Times New Roman"/>
      <w:sz w:val="20"/>
      <w:szCs w:val="20"/>
    </w:rPr>
  </w:style>
  <w:style w:type="paragraph" w:styleId="Lbjegyzetszveg">
    <w:name w:val="footnote text"/>
    <w:basedOn w:val="Norml"/>
    <w:link w:val="LbjegyzetszvegChar"/>
    <w:uiPriority w:val="99"/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Pr>
      <w:rFonts w:ascii="Times New Roman" w:hAnsi="Times New Roman" w:cs="Times New Roman"/>
      <w:sz w:val="20"/>
      <w:szCs w:val="20"/>
    </w:rPr>
  </w:style>
  <w:style w:type="character" w:styleId="Lbjegyzet-hivatkozs">
    <w:name w:val="footnote reference"/>
    <w:basedOn w:val="Bekezdsalapbettpusa"/>
    <w:uiPriority w:val="99"/>
    <w:rPr>
      <w:vertAlign w:val="superscript"/>
    </w:rPr>
  </w:style>
  <w:style w:type="paragraph" w:styleId="Szvegtrzs">
    <w:name w:val="Body Text"/>
    <w:basedOn w:val="Norml"/>
    <w:link w:val="SzvegtrzsChar"/>
    <w:uiPriority w:val="99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Pr>
      <w:rFonts w:ascii="Times New Roman" w:hAnsi="Times New Roman" w:cs="Times New Roman"/>
      <w:sz w:val="20"/>
      <w:szCs w:val="20"/>
    </w:rPr>
  </w:style>
  <w:style w:type="paragraph" w:styleId="Dokumentumtrkp">
    <w:name w:val="Document Map"/>
    <w:basedOn w:val="Norml"/>
    <w:link w:val="DokumentumtrkpChar"/>
    <w:uiPriority w:val="99"/>
    <w:pPr>
      <w:shd w:val="clear" w:color="auto" w:fill="000080"/>
    </w:pPr>
    <w:rPr>
      <w:rFonts w:ascii="Tahoma" w:hAnsi="Tahoma" w:cs="Tahoma"/>
    </w:rPr>
  </w:style>
  <w:style w:type="character" w:customStyle="1" w:styleId="DokumentumtrkpChar">
    <w:name w:val="Dokumentumtérkép Char"/>
    <w:basedOn w:val="Bekezdsalapbettpusa"/>
    <w:link w:val="Dokumentumtrkp"/>
    <w:uiPriority w:val="99"/>
    <w:semiHidden/>
    <w:rPr>
      <w:rFonts w:ascii="Segoe UI" w:hAnsi="Segoe UI" w:cs="Segoe UI"/>
      <w:sz w:val="16"/>
      <w:szCs w:val="16"/>
    </w:rPr>
  </w:style>
  <w:style w:type="paragraph" w:styleId="Buborkszveg">
    <w:name w:val="Balloon Text"/>
    <w:basedOn w:val="Norml"/>
    <w:link w:val="BuborkszvegChar"/>
    <w:uiPriority w:val="99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579</Words>
  <Characters>3999</Characters>
  <Application>Microsoft Office Word</Application>
  <DocSecurity>0</DocSecurity>
  <Lines>33</Lines>
  <Paragraphs>9</Paragraphs>
  <ScaleCrop>false</ScaleCrop>
  <Company/>
  <LinksUpToDate>false</LinksUpToDate>
  <CharactersWithSpaces>4569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Életige, 2007</dc:title>
  <dc:subject/>
  <dc:creator>Heltai Pálné</dc:creator>
  <cp:keywords/>
  <dc:description/>
  <cp:lastModifiedBy>Sándor Bodnár</cp:lastModifiedBy>
  <cp:revision>2</cp:revision>
  <dcterms:created xsi:type="dcterms:W3CDTF">2021-06-23T13:13:00Z</dcterms:created>
  <dcterms:modified xsi:type="dcterms:W3CDTF">2021-06-23T13:13:00Z</dcterms:modified>
</cp:coreProperties>
</file>