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B07D" w14:textId="77777777" w:rsidR="00DE5678" w:rsidRDefault="00DE5678">
      <w:pPr>
        <w:jc w:val="right"/>
        <w:rPr>
          <w:sz w:val="24"/>
          <w:szCs w:val="24"/>
        </w:rPr>
      </w:pPr>
      <w:r>
        <w:rPr>
          <w:sz w:val="24"/>
          <w:szCs w:val="24"/>
        </w:rPr>
        <w:t>Életige, 2003. december</w:t>
      </w:r>
    </w:p>
    <w:p w14:paraId="6B518193" w14:textId="77777777" w:rsidR="00DE5678" w:rsidRDefault="00DE5678">
      <w:pPr>
        <w:jc w:val="right"/>
        <w:rPr>
          <w:sz w:val="24"/>
          <w:szCs w:val="24"/>
        </w:rPr>
      </w:pPr>
    </w:p>
    <w:p w14:paraId="30E4E043" w14:textId="77777777" w:rsidR="00DE5678" w:rsidRDefault="00DE5678">
      <w:pPr>
        <w:pStyle w:val="Szvegtrzs"/>
      </w:pPr>
      <w:r>
        <w:t>„Akinek két ruhája van, az egyiket adja oda annak, akinek egy sincs! S akinek van mit ennie, ugyanígy tegyen!” (Lk 3,11)</w:t>
      </w:r>
    </w:p>
    <w:p w14:paraId="577C278E" w14:textId="77777777" w:rsidR="00DE5678" w:rsidRDefault="00DE5678">
      <w:pPr>
        <w:jc w:val="both"/>
        <w:rPr>
          <w:sz w:val="24"/>
          <w:szCs w:val="24"/>
        </w:rPr>
      </w:pPr>
    </w:p>
    <w:p w14:paraId="51065BC9" w14:textId="77777777" w:rsidR="00DE5678" w:rsidRDefault="00DE5678">
      <w:pPr>
        <w:ind w:firstLine="426"/>
        <w:jc w:val="both"/>
        <w:rPr>
          <w:sz w:val="24"/>
          <w:szCs w:val="24"/>
        </w:rPr>
      </w:pPr>
      <w:r>
        <w:rPr>
          <w:sz w:val="24"/>
          <w:szCs w:val="24"/>
        </w:rPr>
        <w:t>Ebben az adventi időszakban, amikor karácsonyra készülünk, újra előtérbe kerül Keresztelő Szent János alakja. Isten azért küldte őt, hogy előkészítse az eljövendő Messiás útját. Akik hozzá fordultak, azoktól életük gyökeres megváltoztatását kérte: „Teremjétek hát a bűnbánat méltó gyümölcsét!”</w:t>
      </w:r>
      <w:r>
        <w:rPr>
          <w:rStyle w:val="Lbjegyzet-hivatkozs"/>
          <w:sz w:val="24"/>
          <w:szCs w:val="24"/>
        </w:rPr>
        <w:footnoteReference w:id="1"/>
      </w:r>
      <w:r>
        <w:rPr>
          <w:sz w:val="24"/>
          <w:szCs w:val="24"/>
        </w:rPr>
        <w:t xml:space="preserve"> És aki azt kérdezte tőle: „Mit tegyünk tehát?”</w:t>
      </w:r>
      <w:r>
        <w:rPr>
          <w:rStyle w:val="Lbjegyzet-hivatkozs"/>
          <w:sz w:val="24"/>
          <w:szCs w:val="24"/>
        </w:rPr>
        <w:footnoteReference w:id="2"/>
      </w:r>
      <w:r>
        <w:rPr>
          <w:sz w:val="24"/>
          <w:szCs w:val="24"/>
        </w:rPr>
        <w:t>, annak így válaszolt:</w:t>
      </w:r>
    </w:p>
    <w:p w14:paraId="7BFC08C1" w14:textId="77777777" w:rsidR="00DE5678" w:rsidRDefault="00DE5678">
      <w:pPr>
        <w:jc w:val="both"/>
        <w:rPr>
          <w:sz w:val="24"/>
          <w:szCs w:val="24"/>
        </w:rPr>
      </w:pPr>
    </w:p>
    <w:p w14:paraId="0EE8D30C" w14:textId="77777777" w:rsidR="00DE5678" w:rsidRDefault="00DE5678">
      <w:pPr>
        <w:pStyle w:val="Szvegtrzs"/>
      </w:pPr>
      <w:r>
        <w:t>„Akinek két ruhája van, az egyiket adja oda annak, akinek egy sincs! S akinek van mit ennie, ugyanígy tegyen!”</w:t>
      </w:r>
    </w:p>
    <w:p w14:paraId="14F51B73" w14:textId="77777777" w:rsidR="00DE5678" w:rsidRDefault="00DE5678">
      <w:pPr>
        <w:ind w:firstLine="426"/>
        <w:jc w:val="both"/>
        <w:rPr>
          <w:sz w:val="24"/>
          <w:szCs w:val="24"/>
        </w:rPr>
      </w:pPr>
    </w:p>
    <w:p w14:paraId="1A2AC513" w14:textId="77777777" w:rsidR="00DE5678" w:rsidRDefault="00DE5678">
      <w:pPr>
        <w:ind w:firstLine="426"/>
        <w:jc w:val="both"/>
        <w:rPr>
          <w:sz w:val="24"/>
          <w:szCs w:val="24"/>
        </w:rPr>
      </w:pPr>
      <w:r>
        <w:rPr>
          <w:sz w:val="24"/>
          <w:szCs w:val="24"/>
        </w:rPr>
        <w:t>Miért adjak a másiknak a magaméból?</w:t>
      </w:r>
    </w:p>
    <w:p w14:paraId="75D72983" w14:textId="77777777" w:rsidR="00DE5678" w:rsidRDefault="00DE5678">
      <w:pPr>
        <w:ind w:firstLine="426"/>
        <w:jc w:val="both"/>
        <w:rPr>
          <w:sz w:val="24"/>
          <w:szCs w:val="24"/>
        </w:rPr>
      </w:pPr>
      <w:r>
        <w:rPr>
          <w:sz w:val="24"/>
          <w:szCs w:val="24"/>
        </w:rPr>
        <w:t>A másikat is Isten teremtette, úgy, mint engem. Testvérem ő, lényem része. „Nem tudok kárt tenni benned anélkül, hogy meg ne sebezném saját magamat is”</w:t>
      </w:r>
      <w:r>
        <w:rPr>
          <w:rStyle w:val="Lbjegyzet-hivatkozs"/>
          <w:sz w:val="24"/>
          <w:szCs w:val="24"/>
        </w:rPr>
        <w:footnoteReference w:id="3"/>
      </w:r>
      <w:r>
        <w:rPr>
          <w:sz w:val="24"/>
          <w:szCs w:val="24"/>
        </w:rPr>
        <w:t xml:space="preserve"> – mondta Gandhi. Ajándéknak lettünk teremtve egymás számára, Isten képmására, aki Szeretet. A szeretet isteni törvénye be van írva génjeinkbe. Jézus, amikor közénk jött, világosan kinyilatkoztatta ezt nekünk, amikor új parancsot adott: „Amint én szerettelek titeket, úgy szeressétek egymást ti is!”</w:t>
      </w:r>
      <w:r>
        <w:rPr>
          <w:rStyle w:val="Lbjegyzet-hivatkozs"/>
          <w:sz w:val="24"/>
          <w:szCs w:val="24"/>
        </w:rPr>
        <w:footnoteReference w:id="4"/>
      </w:r>
      <w:r>
        <w:rPr>
          <w:sz w:val="24"/>
          <w:szCs w:val="24"/>
        </w:rPr>
        <w:t xml:space="preserve"> Ez a „Mennyország törvénye”, a Szentháromság élete itt a földön, az evangélium szíve. Amint az Atya, a Fiú és a Szentlélek teljes közösségben élnek a Mennyben, annyira, hogy teljesen egyek</w:t>
      </w:r>
      <w:r>
        <w:rPr>
          <w:rStyle w:val="Lbjegyzet-hivatkozs"/>
          <w:sz w:val="24"/>
          <w:szCs w:val="24"/>
        </w:rPr>
        <w:footnoteReference w:id="5"/>
      </w:r>
      <w:r>
        <w:rPr>
          <w:sz w:val="24"/>
          <w:szCs w:val="24"/>
        </w:rPr>
        <w:t>, ugyanúgy a földön mi is olyan mértékben vagyunk önmagunk, amennyire megéljük a szeretet kölcsönösségét. Amint a Fiú ezt mondja az Atyának: „mindaz, ami az enyém, a tiéd, és ami a tiéd, az enyém”</w:t>
      </w:r>
      <w:r>
        <w:rPr>
          <w:rStyle w:val="Lbjegyzet-hivatkozs"/>
          <w:sz w:val="24"/>
          <w:szCs w:val="24"/>
        </w:rPr>
        <w:footnoteReference w:id="6"/>
      </w:r>
      <w:r>
        <w:rPr>
          <w:sz w:val="24"/>
          <w:szCs w:val="24"/>
        </w:rPr>
        <w:t>, úgy közöttünk is akkor valósul meg teljes mértékben a szeretet, ha nemcsak a lelki javakat osztjuk meg, hanem az anyagiakat is.</w:t>
      </w:r>
    </w:p>
    <w:p w14:paraId="5A608EF5" w14:textId="77777777" w:rsidR="00DE5678" w:rsidRDefault="00DE5678">
      <w:pPr>
        <w:ind w:firstLine="426"/>
        <w:jc w:val="both"/>
        <w:rPr>
          <w:sz w:val="24"/>
          <w:szCs w:val="24"/>
        </w:rPr>
      </w:pPr>
      <w:r>
        <w:rPr>
          <w:sz w:val="24"/>
          <w:szCs w:val="24"/>
        </w:rPr>
        <w:t>Felebarátunk szükséglete mindenki szükségletévé kell, hogy váljon. Valakinek nincs állása? Mintha nekem nem lenne. Valakinek beteg az édesanyja? Úgy segítem őt, mintha az enyém lenne az. Van, aki éhes? Mintha én lennék éhes, és úgy próbálom előteremteni az ételt, mintha saját magamnak tenném.</w:t>
      </w:r>
    </w:p>
    <w:p w14:paraId="45593D52" w14:textId="77777777" w:rsidR="00DE5678" w:rsidRDefault="00DE5678">
      <w:pPr>
        <w:ind w:firstLine="426"/>
        <w:jc w:val="both"/>
        <w:rPr>
          <w:sz w:val="24"/>
          <w:szCs w:val="24"/>
        </w:rPr>
      </w:pPr>
      <w:r>
        <w:rPr>
          <w:sz w:val="24"/>
          <w:szCs w:val="24"/>
        </w:rPr>
        <w:t>Ez a jeruzsálemi első keresztények tapasztalata: „A hívők sokaságának egy volt a szíve-lelke. Egyikük sem mondott birtokából semmit sem a saját tulajdonának, hanem mindenük közös volt.”</w:t>
      </w:r>
      <w:r>
        <w:rPr>
          <w:rStyle w:val="Lbjegyzet-hivatkozs"/>
          <w:sz w:val="24"/>
          <w:szCs w:val="24"/>
        </w:rPr>
        <w:footnoteReference w:id="7"/>
      </w:r>
      <w:r>
        <w:rPr>
          <w:sz w:val="24"/>
          <w:szCs w:val="24"/>
        </w:rPr>
        <w:t xml:space="preserve"> Olyan vagyonközösség volt ez, amelyet bár nem volt kötelező, mégis nagyon intenzíven gyakoroltak. Pál apostol megmagyarázza: nem arról van szó, hogy egyeseket nehéz helyzetbe kellene hozni azért, hogy másokon segítsünk, hanem arról, hogy megvalósuljon az „egyenlő mérték szerint”</w:t>
      </w:r>
      <w:r>
        <w:rPr>
          <w:rStyle w:val="Lbjegyzet-hivatkozs"/>
          <w:sz w:val="24"/>
          <w:szCs w:val="24"/>
        </w:rPr>
        <w:footnoteReference w:id="8"/>
      </w:r>
      <w:r>
        <w:rPr>
          <w:sz w:val="24"/>
          <w:szCs w:val="24"/>
        </w:rPr>
        <w:t xml:space="preserve"> elve.</w:t>
      </w:r>
    </w:p>
    <w:p w14:paraId="0B925759" w14:textId="77777777" w:rsidR="00DE5678" w:rsidRDefault="00DE5678">
      <w:pPr>
        <w:ind w:firstLine="426"/>
        <w:jc w:val="both"/>
        <w:rPr>
          <w:sz w:val="24"/>
          <w:szCs w:val="24"/>
        </w:rPr>
      </w:pPr>
      <w:r>
        <w:rPr>
          <w:sz w:val="24"/>
          <w:szCs w:val="24"/>
        </w:rPr>
        <w:t>Cezáreai Szent Vazul ezt mondja: „Az éhezőket illeti meg az a kenyér, amit félreteszel, ládafiában őrzött kabátod a mezítelennek jár, rejtve őrzött pénzed pedig a szükséget szenvedőké.”</w:t>
      </w:r>
      <w:r>
        <w:rPr>
          <w:rStyle w:val="Lbjegyzet-hivatkozs"/>
          <w:sz w:val="24"/>
          <w:szCs w:val="24"/>
        </w:rPr>
        <w:footnoteReference w:id="9"/>
      </w:r>
    </w:p>
    <w:p w14:paraId="082D9BAC" w14:textId="77777777" w:rsidR="00DE5678" w:rsidRDefault="00DE5678">
      <w:pPr>
        <w:ind w:firstLine="426"/>
        <w:jc w:val="both"/>
        <w:rPr>
          <w:sz w:val="24"/>
          <w:szCs w:val="24"/>
        </w:rPr>
      </w:pPr>
      <w:r>
        <w:rPr>
          <w:sz w:val="24"/>
          <w:szCs w:val="24"/>
        </w:rPr>
        <w:t>Szent Ágoston pedig: „A gazdagok feleslege a szegényeket illeti.”</w:t>
      </w:r>
      <w:r>
        <w:rPr>
          <w:rStyle w:val="Lbjegyzet-hivatkozs"/>
          <w:sz w:val="24"/>
          <w:szCs w:val="24"/>
        </w:rPr>
        <w:footnoteReference w:id="10"/>
      </w:r>
    </w:p>
    <w:p w14:paraId="58B9BAA6" w14:textId="77777777" w:rsidR="00DE5678" w:rsidRDefault="00DE5678">
      <w:pPr>
        <w:ind w:firstLine="426"/>
        <w:jc w:val="both"/>
        <w:rPr>
          <w:sz w:val="24"/>
          <w:szCs w:val="24"/>
        </w:rPr>
      </w:pPr>
      <w:r>
        <w:rPr>
          <w:sz w:val="24"/>
          <w:szCs w:val="24"/>
        </w:rPr>
        <w:t>„A szegényeknek is segíteniük kell egymáson: egyikük lábát kölcsönözheti a sántának, a másikuk szemét a vaknak; ismét más meglátogathatja a betegeket.”</w:t>
      </w:r>
      <w:r>
        <w:rPr>
          <w:rStyle w:val="Lbjegyzet-hivatkozs"/>
          <w:sz w:val="24"/>
          <w:szCs w:val="24"/>
        </w:rPr>
        <w:footnoteReference w:id="11"/>
      </w:r>
    </w:p>
    <w:p w14:paraId="683A4FBD" w14:textId="77777777" w:rsidR="00DE5678" w:rsidRDefault="00DE5678">
      <w:pPr>
        <w:pStyle w:val="Szvegtrzs"/>
      </w:pPr>
      <w:r>
        <w:lastRenderedPageBreak/>
        <w:t>„Akinek két ruhája van, az egyiket adja oda annak, akinek egy sincs! S akinek van mit ennie, ugyanígy tegyen!”</w:t>
      </w:r>
    </w:p>
    <w:p w14:paraId="2011F2E8" w14:textId="77777777" w:rsidR="00DE5678" w:rsidRDefault="00DE5678">
      <w:pPr>
        <w:jc w:val="both"/>
        <w:rPr>
          <w:sz w:val="24"/>
          <w:szCs w:val="24"/>
        </w:rPr>
      </w:pPr>
    </w:p>
    <w:p w14:paraId="6BA081AD" w14:textId="77777777" w:rsidR="00DE5678" w:rsidRDefault="00DE5678">
      <w:pPr>
        <w:ind w:firstLine="426"/>
        <w:jc w:val="both"/>
        <w:rPr>
          <w:sz w:val="24"/>
          <w:szCs w:val="24"/>
        </w:rPr>
      </w:pPr>
      <w:r>
        <w:rPr>
          <w:sz w:val="24"/>
          <w:szCs w:val="24"/>
        </w:rPr>
        <w:t>Ma is élhetünk úgy, mint az első keresztények. Az evangélium nem utópia. Ezt bizonyítják pl. azok az új egyházi mozgalmak, amelyeket a Szentlélek hozott létre az egyházban, hogy az első keresztények evangéliumi radikalitását hívja újra életre frissességével, és hogy válaszoljon az óriási igazságtalanságban és szegénységben élő mai társadalom nagy kihívásaira.</w:t>
      </w:r>
    </w:p>
    <w:p w14:paraId="079BAA0F" w14:textId="77777777" w:rsidR="00DE5678" w:rsidRDefault="00DE5678">
      <w:pPr>
        <w:ind w:firstLine="426"/>
        <w:jc w:val="both"/>
        <w:rPr>
          <w:sz w:val="24"/>
          <w:szCs w:val="24"/>
        </w:rPr>
      </w:pPr>
      <w:r>
        <w:rPr>
          <w:sz w:val="24"/>
          <w:szCs w:val="24"/>
        </w:rPr>
        <w:t>Emlékszem a Fokoláre Mozgalom kezdetére, amikor az új karizma a szegények iránti különleges szeretetet ültette a szívünkbe. Amikor találkoztunk velük az utcán, felírtuk egy kis jegyzetfüzetbe a címüket, hogy felkereshessük őket, hogy segítsünk nekik. Jézust láttuk bennük, aki azt mondta: „nekem tettétek”</w:t>
      </w:r>
      <w:r>
        <w:rPr>
          <w:rStyle w:val="Lbjegyzet-hivatkozs"/>
          <w:sz w:val="24"/>
          <w:szCs w:val="24"/>
        </w:rPr>
        <w:footnoteReference w:id="12"/>
      </w:r>
      <w:r>
        <w:rPr>
          <w:sz w:val="24"/>
          <w:szCs w:val="24"/>
        </w:rPr>
        <w:t>. Miután meglátogattuk őket viskóikban, meghívtuk őket magunkhoz ebédre. Nekik tartogattuk a legszebb asztalterítőt, a legjobb evőeszközöket, a legjobb falatokat. Az első fokolárban az asztalnál így foglaltunk helyet: egy fokolarina, egy szegény, egy fokolarina, egy szegény…</w:t>
      </w:r>
    </w:p>
    <w:p w14:paraId="79D7BD9D" w14:textId="77777777" w:rsidR="00DE5678" w:rsidRDefault="00DE5678">
      <w:pPr>
        <w:ind w:firstLine="426"/>
        <w:jc w:val="both"/>
        <w:rPr>
          <w:sz w:val="24"/>
          <w:szCs w:val="24"/>
        </w:rPr>
      </w:pPr>
      <w:r>
        <w:rPr>
          <w:sz w:val="24"/>
          <w:szCs w:val="24"/>
        </w:rPr>
        <w:t>Egy nap úgy éreztük, az Úr azt kéri tőlünk, hogy váljunk mi magunk szegénnyé, hogy így szolgálhassuk a szegényeket és mindenkit. Ezért mindegyikünk az első fokolár egyik szobájának közepére tette mindazt, amiről úgy gondolta, hogy felesleges a számára. Volt ott tavaszi kabát, egy pár kesztyű, kalap, még egy szőrmebunda is… Azóta pedig, hogy adni tudjunk a szegényeknek, olyan vállalatokat alapítottunk, amelyek munkahelyet biztosítanak, nyereséget termelnek, amit a rászorulók kapnak meg.</w:t>
      </w:r>
    </w:p>
    <w:p w14:paraId="64922AC4" w14:textId="77777777" w:rsidR="00DE5678" w:rsidRDefault="00DE5678">
      <w:pPr>
        <w:ind w:firstLine="426"/>
        <w:jc w:val="both"/>
        <w:rPr>
          <w:sz w:val="24"/>
          <w:szCs w:val="24"/>
        </w:rPr>
      </w:pPr>
      <w:r>
        <w:rPr>
          <w:sz w:val="24"/>
          <w:szCs w:val="24"/>
        </w:rPr>
        <w:t>De még sokat kell tennünk a „szegényekért”.</w:t>
      </w:r>
    </w:p>
    <w:p w14:paraId="567F8F6C" w14:textId="77777777" w:rsidR="00DE5678" w:rsidRDefault="00DE5678">
      <w:pPr>
        <w:jc w:val="both"/>
        <w:rPr>
          <w:sz w:val="24"/>
          <w:szCs w:val="24"/>
        </w:rPr>
      </w:pPr>
    </w:p>
    <w:p w14:paraId="76AE037D" w14:textId="77777777" w:rsidR="00DE5678" w:rsidRDefault="00DE5678">
      <w:pPr>
        <w:pStyle w:val="Szvegtrzs"/>
      </w:pPr>
      <w:r>
        <w:t>„Akinek két ruhája van, az egyiket adja oda annak, akinek egy sincs! S akinek van mit ennie, ugyanígy tegyen!”</w:t>
      </w:r>
    </w:p>
    <w:p w14:paraId="0CC8C9C6" w14:textId="77777777" w:rsidR="00DE5678" w:rsidRDefault="00DE5678">
      <w:pPr>
        <w:jc w:val="both"/>
        <w:rPr>
          <w:b/>
          <w:bCs/>
          <w:i/>
          <w:iCs/>
          <w:sz w:val="24"/>
          <w:szCs w:val="24"/>
        </w:rPr>
      </w:pPr>
    </w:p>
    <w:p w14:paraId="0DF1720C" w14:textId="77777777" w:rsidR="00DE5678" w:rsidRDefault="00DE5678">
      <w:pPr>
        <w:ind w:firstLine="426"/>
        <w:jc w:val="both"/>
        <w:rPr>
          <w:sz w:val="24"/>
          <w:szCs w:val="24"/>
        </w:rPr>
      </w:pPr>
      <w:r>
        <w:rPr>
          <w:sz w:val="24"/>
          <w:szCs w:val="24"/>
        </w:rPr>
        <w:t>Lehet, hogy észre sem vesszük, hogy milyen sok kincsünk van, amit közösbe tehetünk. Finomítani kell érzékenységünkön, és el kell sajátítanunk bizonyos ismereteket ahhoz, hogy ténylegesen segíteni tudjunk, hogy megtaláljuk a testvériség megélésének módját. Adhatjuk szívünk szeretetét, kinyilváníthatjuk baráti szándékunkat, átadhatjuk örömünket, rendelkezésre bocsáthatjuk időnket, imáinkat; szóban vagy írásban közösbe tehetjük belső gazdagságunkat. Vannak ezen kívül olyan tárgyaink is – táskák, tollak, könyvek, pénz, lakás vagy jármű –, amelyeket rendelkezésre bocsáthatunk. Lehet, hogy sok mindent összegyűjtünk arra gondolva, hogy egyszer majd szükségünk lesz rá, miközben környezetünkben valakinek sürgősen éppen az kellene.</w:t>
      </w:r>
    </w:p>
    <w:p w14:paraId="02B0E3EB" w14:textId="77777777" w:rsidR="00DE5678" w:rsidRDefault="00DE5678">
      <w:pPr>
        <w:ind w:firstLine="426"/>
        <w:jc w:val="both"/>
        <w:rPr>
          <w:sz w:val="24"/>
          <w:szCs w:val="24"/>
        </w:rPr>
      </w:pPr>
      <w:r>
        <w:rPr>
          <w:sz w:val="24"/>
          <w:szCs w:val="24"/>
        </w:rPr>
        <w:t>Ahogyan minden növény csak annyi vizet szív fel a talajból, amennyire szüksége van, úgy mi is próbáljunk meg csak annyit birtokolni, amennyi nélkülözhetetlen. Jobb, ha időnként azt vesszük észre, hogy hiányzik valami; jobb kicsit szegénynek lenni, mint kicsit gazdagnak.</w:t>
      </w:r>
    </w:p>
    <w:p w14:paraId="572472A1" w14:textId="77777777" w:rsidR="00DE5678" w:rsidRDefault="00DE5678">
      <w:pPr>
        <w:ind w:firstLine="426"/>
        <w:jc w:val="both"/>
        <w:rPr>
          <w:sz w:val="24"/>
          <w:szCs w:val="24"/>
        </w:rPr>
      </w:pPr>
      <w:r>
        <w:rPr>
          <w:sz w:val="24"/>
          <w:szCs w:val="24"/>
        </w:rPr>
        <w:t>„Ha mindannyian megelégednénk a szükségessel” – mondta Szent Vazul – „,és fölöslegünket a nélkülözőknek adnánk, nem lenne többé sem gazdag, sem szegény.”</w:t>
      </w:r>
      <w:r>
        <w:rPr>
          <w:rStyle w:val="Lbjegyzet-hivatkozs"/>
          <w:sz w:val="24"/>
          <w:szCs w:val="24"/>
        </w:rPr>
        <w:footnoteReference w:id="13"/>
      </w:r>
    </w:p>
    <w:p w14:paraId="2C4E768A" w14:textId="77777777" w:rsidR="00DE5678" w:rsidRDefault="00DE5678">
      <w:pPr>
        <w:ind w:firstLine="426"/>
        <w:jc w:val="both"/>
        <w:rPr>
          <w:sz w:val="24"/>
          <w:szCs w:val="24"/>
        </w:rPr>
      </w:pPr>
      <w:r>
        <w:rPr>
          <w:sz w:val="24"/>
          <w:szCs w:val="24"/>
        </w:rPr>
        <w:t>Próbáljuk meg, kezdjünk el így élni! Jézus biztosan nem fog megfeledkezni arról, hogy elküldje nekünk a százszorost; így további lehetőségünk lesz arra, hogy adjunk. Végül pedig azt fogja mondani nekünk, hogy amit odaadtunk bárkinek is, azt Neki adtuk oda.</w:t>
      </w:r>
    </w:p>
    <w:p w14:paraId="592653C3" w14:textId="77777777" w:rsidR="00DE5678" w:rsidRDefault="00DE5678">
      <w:pPr>
        <w:jc w:val="both"/>
        <w:rPr>
          <w:sz w:val="24"/>
          <w:szCs w:val="24"/>
        </w:rPr>
      </w:pPr>
    </w:p>
    <w:p w14:paraId="2E68528E" w14:textId="77777777" w:rsidR="00DE5678" w:rsidRDefault="00DE5678">
      <w:pPr>
        <w:ind w:firstLine="6237"/>
        <w:jc w:val="both"/>
        <w:rPr>
          <w:sz w:val="24"/>
          <w:szCs w:val="24"/>
        </w:rPr>
      </w:pPr>
      <w:r>
        <w:rPr>
          <w:sz w:val="24"/>
          <w:szCs w:val="24"/>
        </w:rPr>
        <w:t>Chiara Lubich</w:t>
      </w:r>
    </w:p>
    <w:sectPr w:rsidR="00DE5678" w:rsidSect="00DE5678">
      <w:pgSz w:w="11906" w:h="16838" w:code="9"/>
      <w:pgMar w:top="1418" w:right="1418" w:bottom="1134" w:left="1418" w:header="709" w:footer="709"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51EC" w14:textId="77777777" w:rsidR="00000000" w:rsidRDefault="00783E00">
      <w:r>
        <w:separator/>
      </w:r>
    </w:p>
  </w:endnote>
  <w:endnote w:type="continuationSeparator" w:id="0">
    <w:p w14:paraId="663EB484" w14:textId="77777777" w:rsidR="00000000" w:rsidRDefault="007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EEF2" w14:textId="77777777" w:rsidR="00000000" w:rsidRDefault="00783E00">
      <w:r>
        <w:separator/>
      </w:r>
    </w:p>
  </w:footnote>
  <w:footnote w:type="continuationSeparator" w:id="0">
    <w:p w14:paraId="24A84F65" w14:textId="77777777" w:rsidR="00000000" w:rsidRDefault="00783E00">
      <w:r>
        <w:continuationSeparator/>
      </w:r>
    </w:p>
  </w:footnote>
  <w:footnote w:id="1">
    <w:p w14:paraId="171A382B" w14:textId="77777777" w:rsidR="00000000" w:rsidRDefault="00DE5678">
      <w:pPr>
        <w:pStyle w:val="Lbjegyzetszveg"/>
      </w:pPr>
      <w:r>
        <w:rPr>
          <w:rStyle w:val="Lbjegyzet-hivatkozs"/>
        </w:rPr>
        <w:footnoteRef/>
      </w:r>
      <w:r>
        <w:t xml:space="preserve"> Lk 3,8</w:t>
      </w:r>
    </w:p>
  </w:footnote>
  <w:footnote w:id="2">
    <w:p w14:paraId="63E98EA1" w14:textId="77777777" w:rsidR="00000000" w:rsidRDefault="00DE5678">
      <w:pPr>
        <w:pStyle w:val="Lbjegyzetszveg"/>
      </w:pPr>
      <w:r>
        <w:rPr>
          <w:rStyle w:val="Lbjegyzet-hivatkozs"/>
        </w:rPr>
        <w:footnoteRef/>
      </w:r>
      <w:r>
        <w:t xml:space="preserve"> Lk 3,10</w:t>
      </w:r>
    </w:p>
  </w:footnote>
  <w:footnote w:id="3">
    <w:p w14:paraId="12119B7F" w14:textId="77777777" w:rsidR="00000000" w:rsidRDefault="00DE5678">
      <w:pPr>
        <w:jc w:val="both"/>
      </w:pPr>
      <w:r>
        <w:rPr>
          <w:rStyle w:val="Lbjegyzet-hivatkozs"/>
        </w:rPr>
        <w:footnoteRef/>
      </w:r>
      <w:r>
        <w:t xml:space="preserve"> V.ö.: Wilhelm Mühs, </w:t>
      </w:r>
      <w:r>
        <w:rPr>
          <w:i/>
          <w:iCs/>
        </w:rPr>
        <w:t xml:space="preserve">A szív szavai, </w:t>
      </w:r>
      <w:r>
        <w:t>Új Város, Budapest, 2002, 73. o.</w:t>
      </w:r>
    </w:p>
  </w:footnote>
  <w:footnote w:id="4">
    <w:p w14:paraId="488704EB" w14:textId="77777777" w:rsidR="00000000" w:rsidRDefault="00DE5678">
      <w:pPr>
        <w:pStyle w:val="Lbjegyzetszveg"/>
      </w:pPr>
      <w:r>
        <w:rPr>
          <w:rStyle w:val="Lbjegyzet-hivatkozs"/>
        </w:rPr>
        <w:footnoteRef/>
      </w:r>
      <w:r>
        <w:t xml:space="preserve"> Jn 13,34</w:t>
      </w:r>
    </w:p>
  </w:footnote>
  <w:footnote w:id="5">
    <w:p w14:paraId="7ED48488" w14:textId="77777777" w:rsidR="00000000" w:rsidRDefault="00DE5678">
      <w:pPr>
        <w:pStyle w:val="Lbjegyzetszveg"/>
      </w:pPr>
      <w:r>
        <w:rPr>
          <w:rStyle w:val="Lbjegyzet-hivatkozs"/>
        </w:rPr>
        <w:footnoteRef/>
      </w:r>
      <w:r>
        <w:t xml:space="preserve"> V.ö.: Jn 17,11</w:t>
      </w:r>
    </w:p>
  </w:footnote>
  <w:footnote w:id="6">
    <w:p w14:paraId="39ED5B74" w14:textId="77777777" w:rsidR="00000000" w:rsidRDefault="00DE5678">
      <w:pPr>
        <w:pStyle w:val="Lbjegyzetszveg"/>
      </w:pPr>
      <w:r>
        <w:rPr>
          <w:rStyle w:val="Lbjegyzet-hivatkozs"/>
        </w:rPr>
        <w:footnoteRef/>
      </w:r>
      <w:r>
        <w:t xml:space="preserve"> Jn 17,10</w:t>
      </w:r>
    </w:p>
  </w:footnote>
  <w:footnote w:id="7">
    <w:p w14:paraId="61DA4954" w14:textId="77777777" w:rsidR="00000000" w:rsidRDefault="00DE5678">
      <w:pPr>
        <w:pStyle w:val="Lbjegyzetszveg"/>
      </w:pPr>
      <w:r>
        <w:rPr>
          <w:rStyle w:val="Lbjegyzet-hivatkozs"/>
        </w:rPr>
        <w:footnoteRef/>
      </w:r>
      <w:r>
        <w:t xml:space="preserve"> ApCsel 4,32</w:t>
      </w:r>
    </w:p>
  </w:footnote>
  <w:footnote w:id="8">
    <w:p w14:paraId="0E3C13B4" w14:textId="77777777" w:rsidR="00000000" w:rsidRDefault="00DE5678">
      <w:pPr>
        <w:pStyle w:val="Lbjegyzetszveg"/>
      </w:pPr>
      <w:r>
        <w:rPr>
          <w:rStyle w:val="Lbjegyzet-hivatkozs"/>
        </w:rPr>
        <w:footnoteRef/>
      </w:r>
      <w:r>
        <w:t xml:space="preserve"> 2Kor 8,13</w:t>
      </w:r>
    </w:p>
  </w:footnote>
  <w:footnote w:id="9">
    <w:p w14:paraId="31CCA15B" w14:textId="77777777" w:rsidR="00000000" w:rsidRDefault="00DE5678">
      <w:pPr>
        <w:pStyle w:val="Lbjegyzetszveg"/>
      </w:pPr>
      <w:r>
        <w:rPr>
          <w:rStyle w:val="Lbjegyzet-hivatkozs"/>
        </w:rPr>
        <w:footnoteRef/>
      </w:r>
      <w:r>
        <w:t xml:space="preserve"> </w:t>
      </w:r>
      <w:r>
        <w:rPr>
          <w:i/>
          <w:iCs/>
        </w:rPr>
        <w:t>Aforismi e citazioni cristiane [Keresztény aforizmák és idézetek]</w:t>
      </w:r>
      <w:r>
        <w:t>, Piemme, 1994, 44.o.</w:t>
      </w:r>
    </w:p>
  </w:footnote>
  <w:footnote w:id="10">
    <w:p w14:paraId="1256E60B" w14:textId="77777777" w:rsidR="00000000" w:rsidRDefault="00DE5678">
      <w:pPr>
        <w:pStyle w:val="Lbjegyzetszveg"/>
      </w:pPr>
      <w:r>
        <w:rPr>
          <w:rStyle w:val="Lbjegyzet-hivatkozs"/>
        </w:rPr>
        <w:footnoteRef/>
      </w:r>
      <w:r>
        <w:t xml:space="preserve"> U.o., 45.o.</w:t>
      </w:r>
    </w:p>
  </w:footnote>
  <w:footnote w:id="11">
    <w:p w14:paraId="2AC40080" w14:textId="77777777" w:rsidR="00000000" w:rsidRDefault="00DE5678">
      <w:pPr>
        <w:pStyle w:val="Lbjegyzetszveg"/>
      </w:pPr>
      <w:r>
        <w:rPr>
          <w:rStyle w:val="Lbjegyzet-hivatkozs"/>
        </w:rPr>
        <w:footnoteRef/>
      </w:r>
      <w:r>
        <w:t xml:space="preserve"> U.o.</w:t>
      </w:r>
    </w:p>
  </w:footnote>
  <w:footnote w:id="12">
    <w:p w14:paraId="3C53F36F" w14:textId="77777777" w:rsidR="00000000" w:rsidRDefault="00DE5678">
      <w:pPr>
        <w:pStyle w:val="Lbjegyzetszveg"/>
      </w:pPr>
      <w:r>
        <w:rPr>
          <w:rStyle w:val="Lbjegyzet-hivatkozs"/>
        </w:rPr>
        <w:footnoteRef/>
      </w:r>
      <w:r>
        <w:t xml:space="preserve"> Mt 25,40</w:t>
      </w:r>
    </w:p>
  </w:footnote>
  <w:footnote w:id="13">
    <w:p w14:paraId="7BAEC75B" w14:textId="77777777" w:rsidR="00000000" w:rsidRDefault="00DE5678">
      <w:pPr>
        <w:pStyle w:val="Lbjegyzetszveg"/>
      </w:pPr>
      <w:r>
        <w:rPr>
          <w:rStyle w:val="Lbjegyzet-hivatkozs"/>
        </w:rPr>
        <w:footnoteRef/>
      </w:r>
      <w:r>
        <w:t xml:space="preserve"> </w:t>
      </w:r>
      <w:r>
        <w:rPr>
          <w:i/>
          <w:iCs/>
        </w:rPr>
        <w:t>Aforismi e citazioni cristiane [Keresztény aforizmák és idézetek]</w:t>
      </w:r>
      <w:r>
        <w:t>, Piemme, 1994, 44.o.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E5678"/>
    <w:rsid w:val="00783E00"/>
    <w:rsid w:val="00DE56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52697"/>
  <w14:defaultImageDpi w14:val="0"/>
  <w15:docId w15:val="{C8CBEC71-5FF7-4520-AFB8-7050F86B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sz w:val="20"/>
      <w:szCs w:val="20"/>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style>
  <w:style w:type="character" w:customStyle="1" w:styleId="LbjegyzetszvegChar">
    <w:name w:val="Lábjegyzetszöveg Char"/>
    <w:basedOn w:val="Bekezdsalapbettpusa"/>
    <w:link w:val="Lbjegyzetszveg"/>
    <w:uiPriority w:val="99"/>
    <w:semiHidden/>
    <w:rPr>
      <w:sz w:val="20"/>
      <w:szCs w:val="20"/>
    </w:rPr>
  </w:style>
  <w:style w:type="character" w:styleId="Lbjegyzet-hivatkozs">
    <w:name w:val="footnote reference"/>
    <w:basedOn w:val="Bekezdsalapbettpusa"/>
    <w:uiPriority w:val="99"/>
    <w:semiHidden/>
    <w:rPr>
      <w:vertAlign w:val="superscript"/>
    </w:rPr>
  </w:style>
  <w:style w:type="paragraph" w:styleId="Szvegtrzs">
    <w:name w:val="Body Text"/>
    <w:basedOn w:val="Norml"/>
    <w:link w:val="SzvegtrzsChar"/>
    <w:uiPriority w:val="99"/>
    <w:pPr>
      <w:jc w:val="both"/>
    </w:pPr>
    <w:rPr>
      <w:b/>
      <w:bCs/>
      <w:i/>
      <w:iCs/>
      <w:sz w:val="24"/>
      <w:szCs w:val="24"/>
    </w:rPr>
  </w:style>
  <w:style w:type="character" w:customStyle="1" w:styleId="SzvegtrzsChar">
    <w:name w:val="Szövegtörzs Char"/>
    <w:basedOn w:val="Bekezdsalapbettpusa"/>
    <w:link w:val="Szvegtrzs"/>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5188</Characters>
  <Application>Microsoft Office Word</Application>
  <DocSecurity>0</DocSecurity>
  <Lines>43</Lines>
  <Paragraphs>11</Paragraphs>
  <ScaleCrop>false</ScaleCrop>
  <Company>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2003</dc:title>
  <dc:subject/>
  <dc:creator>FocFSz</dc:creator>
  <cp:keywords/>
  <dc:description/>
  <cp:lastModifiedBy>Sándor Bodnár</cp:lastModifiedBy>
  <cp:revision>2</cp:revision>
  <cp:lastPrinted>2003-11-28T23:26:00Z</cp:lastPrinted>
  <dcterms:created xsi:type="dcterms:W3CDTF">2021-06-23T13:25:00Z</dcterms:created>
  <dcterms:modified xsi:type="dcterms:W3CDTF">2021-06-23T13:25:00Z</dcterms:modified>
</cp:coreProperties>
</file>