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3DABBC3" w14:textId="649216E2" w:rsidR="007B70F0" w:rsidRDefault="001D4A08">
      <w:pPr>
        <w:jc w:val="both"/>
        <w:rPr>
          <w:b/>
          <w:bCs/>
          <w:color w:val="999999"/>
        </w:rPr>
      </w:pPr>
      <w:r>
        <w:rPr>
          <w:rFonts w:ascii="Mangal" w:hAnsi="Mangal" w:cs="Mangal"/>
          <w:noProof/>
          <w:sz w:val="36"/>
          <w:szCs w:val="36"/>
        </w:rPr>
        <w:drawing>
          <wp:inline distT="0" distB="0" distL="0" distR="0" wp14:anchorId="66CA4150" wp14:editId="39B15EE4">
            <wp:extent cx="1430020" cy="131889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3188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1F730" w14:textId="77777777" w:rsidR="007B70F0" w:rsidRDefault="007B70F0">
      <w:pPr>
        <w:tabs>
          <w:tab w:val="right" w:pos="9639"/>
        </w:tabs>
        <w:spacing w:after="240"/>
        <w:jc w:val="both"/>
        <w:rPr>
          <w:b/>
        </w:rPr>
      </w:pPr>
      <w:r>
        <w:rPr>
          <w:b/>
          <w:bCs/>
          <w:color w:val="999999"/>
        </w:rPr>
        <w:t xml:space="preserve">     </w:t>
      </w:r>
      <w:r>
        <w:rPr>
          <w:rFonts w:ascii="Noto Sans" w:hAnsi="Noto Sans" w:cs="Noto Sans"/>
          <w:b/>
          <w:bCs/>
          <w:color w:val="999999"/>
        </w:rPr>
        <w:t>AZ ÉLET IGÉJE</w:t>
      </w:r>
      <w:r>
        <w:rPr>
          <w:rFonts w:cs="Arial Unicode MS"/>
          <w:b/>
          <w:bCs/>
          <w:color w:val="999999"/>
        </w:rPr>
        <w:tab/>
      </w:r>
      <w:r>
        <w:t>2016. február</w:t>
      </w:r>
    </w:p>
    <w:p w14:paraId="6E54D3FC" w14:textId="77777777" w:rsidR="007B70F0" w:rsidRDefault="007B70F0">
      <w:r>
        <w:rPr>
          <w:b/>
        </w:rPr>
        <w:t xml:space="preserve">„Mint akit az anyja vigasztal, úgy vigasztallak meg én titeket” </w:t>
      </w:r>
      <w:r>
        <w:t>(Iz 66, 13)</w:t>
      </w:r>
    </w:p>
    <w:p w14:paraId="47556BCC" w14:textId="77777777" w:rsidR="007B70F0" w:rsidRDefault="007B70F0"/>
    <w:p w14:paraId="331557B0" w14:textId="77777777" w:rsidR="007B70F0" w:rsidRDefault="007B70F0">
      <w:pPr>
        <w:ind w:firstLine="425"/>
        <w:jc w:val="both"/>
      </w:pPr>
      <w:r>
        <w:t>Ki ne látott volna még síró kisgyermeket, aki az anyja ölelő karjába veti magát? Bármi történt is, kicsi vagy nagy dolog, az anyja letörli könnyeit, gyöngédséggel veszi körül, a gyermek pedig hamarosan újra mosolyog. Elég, ha érzi édesanyjának jelenlétét és szeretetét. Isten is így tesz velünk, olyannak mondja magát, mint egy édesanya.</w:t>
      </w:r>
    </w:p>
    <w:p w14:paraId="54D1C7F6" w14:textId="77777777" w:rsidR="007B70F0" w:rsidRDefault="007B70F0">
      <w:pPr>
        <w:ind w:firstLine="425"/>
        <w:jc w:val="both"/>
      </w:pPr>
      <w:r>
        <w:t>Ezekkel a szavakkal Isten a babiloni fogságból visszatért népéhez szól, miután látták, hogy rombolják le házaikat és a templomot, majd idegen földre száműzték őket, ahol kiábrándulásban és csüggedésben volt részük. Onnan tértek vissza saját hazájukba, és a pusztítás romjai fölött kellett mindent újrakezdeniük.</w:t>
      </w:r>
    </w:p>
    <w:p w14:paraId="0EF11E15" w14:textId="77777777" w:rsidR="007B70F0" w:rsidRDefault="007B70F0">
      <w:pPr>
        <w:ind w:firstLine="425"/>
        <w:jc w:val="both"/>
        <w:rPr>
          <w:rStyle w:val="apple-converted-space"/>
          <w:shd w:val="clear" w:color="auto" w:fill="FFFFFF"/>
        </w:rPr>
      </w:pPr>
      <w:r>
        <w:t>Izrael tragédiája ismétlődik meg sok háborútól szenvedő nép életében, akik a terrorcselekmények vagy az embertelen kizsákmányolás áldozatai. Körülöttük kifosztott házak és utcák, nemzeti emlékhelyeiket pedig földig rombolták. Vagyonukat elrabolták, szentélyeiket megsemmisítették. Rengeteg embert elraboltak, milliók kényszerültek menekülésre, sokan a sivatagban vagy a tengerben lelték halálukat. Apokaliptikus események szemtanúi vagyunk.</w:t>
      </w:r>
    </w:p>
    <w:p w14:paraId="531BCCD1" w14:textId="77777777" w:rsidR="007B70F0" w:rsidRDefault="007B70F0">
      <w:pPr>
        <w:ind w:firstLine="425"/>
        <w:jc w:val="both"/>
      </w:pPr>
      <w:r>
        <w:rPr>
          <w:rStyle w:val="apple-converted-space"/>
          <w:shd w:val="clear" w:color="auto" w:fill="FFFFFF"/>
        </w:rPr>
        <w:t>Az élet igéje arra hív, hogy higgyünk Isten szeretettel teljes munkálkodásában ott is, ahol nem érzékeljük a jelenlétét. Reményre szólít ez az ige. Ő ott van azokkal, akik üldöztetést szenvednek, akiket igazságtalanság ér, és száműzetésbe kényszerülnek. Itt van velünk, a családunkkal, a népünkkel. Ismeri személyes fájdalmainkat és az emberiség fájdalmait is. Egy lett közülünk, egészen a kereszthalálig. Ezért megért és meg tud vigasztalni minket. Éppen úgy, mint az édesanya, aki ölébe veszi gyermekét és megvigasztalja. Ki kell nyitnunk a szemünket és a szívünket, hogy „meglássuk” őt. Minél inkább megtapasztaljuk gyengéd szeretetét irányunkban, annál inkább képesek leszünk ezt továbbadni azoknak, akik fájdalmak és megpróbáltatások közt élnek, és vigasztalásuk eszköze leszünk. A korintusi híveknek is ezt ajánlja Pál apostol: „mi is megvigasztaljuk azokat, akik szomorúak, azt a vigasztalást nyújtva nekik, amelyet Ő nyújt nekünk” (2Kor 1,4).</w:t>
      </w:r>
    </w:p>
    <w:p w14:paraId="6C8D48D0" w14:textId="77777777" w:rsidR="007B70F0" w:rsidRDefault="007B70F0">
      <w:pPr>
        <w:ind w:firstLine="425"/>
        <w:jc w:val="both"/>
      </w:pPr>
      <w:r>
        <w:t>Chiara Lubich is mélyen és konkrétan megtapasztalva ezt, így ír: „Uram, add nekem az összes magányost… Megéreztem szívemben, micsoda szenvedés szorongatja a tiedet mindazért az elhagyatottságért, amelybe az egész világ elmerül. Szeretek mindenkit, aki beteg és magányos.</w:t>
      </w:r>
    </w:p>
    <w:p w14:paraId="032F3A12" w14:textId="77777777" w:rsidR="007B70F0" w:rsidRDefault="007B70F0">
      <w:pPr>
        <w:ind w:firstLine="425"/>
        <w:jc w:val="both"/>
        <w:rPr>
          <w:b/>
          <w:i/>
        </w:rPr>
      </w:pPr>
      <w:r>
        <w:t>Ki vigasztalja őket könnyeikben? Ki siratja el lassú halálukat? Ki szorítja szívére a kétségbeesett szívet? Add meg nekem, Istenem, hogy szereteted fogható szentsége legyek a világban: legyek a Te karod, amely magához öleli és szeretetével föloldja a világ minden magányát.”</w:t>
      </w:r>
      <w:r>
        <w:rPr>
          <w:rStyle w:val="Lbjegyzet-hivatkozs3"/>
        </w:rPr>
        <w:t xml:space="preserve"> </w:t>
      </w:r>
      <w:r>
        <w:rPr>
          <w:rStyle w:val="Lbjegyzet-hivatkozs3"/>
        </w:rPr>
        <w:footnoteReference w:id="1"/>
      </w:r>
    </w:p>
    <w:p w14:paraId="45D3643C" w14:textId="77777777" w:rsidR="007B70F0" w:rsidRDefault="007B70F0">
      <w:pPr>
        <w:rPr>
          <w:b/>
          <w:i/>
        </w:rPr>
      </w:pPr>
    </w:p>
    <w:p w14:paraId="59B92545" w14:textId="77777777" w:rsidR="007B70F0" w:rsidRDefault="007B70F0">
      <w:pPr>
        <w:ind w:left="5672"/>
        <w:rPr>
          <w:b/>
          <w:i/>
        </w:rPr>
      </w:pPr>
      <w:r>
        <w:rPr>
          <w:b/>
          <w:i/>
        </w:rPr>
        <w:t>Fabio Ciardi</w:t>
      </w:r>
    </w:p>
    <w:p w14:paraId="2ED79FE2" w14:textId="77777777" w:rsidR="007B70F0" w:rsidRDefault="007B70F0">
      <w:pPr>
        <w:rPr>
          <w:b/>
          <w:i/>
        </w:rPr>
      </w:pPr>
    </w:p>
    <w:p w14:paraId="211D7672" w14:textId="77777777" w:rsidR="007B70F0" w:rsidRDefault="007B70F0">
      <w:pPr>
        <w:rPr>
          <w:b/>
          <w:i/>
        </w:rPr>
      </w:pPr>
    </w:p>
    <w:p w14:paraId="0255C8FC" w14:textId="77777777" w:rsidR="007B70F0" w:rsidRDefault="007B70F0">
      <w:pPr>
        <w:rPr>
          <w:i/>
        </w:rPr>
      </w:pPr>
      <w:r>
        <w:rPr>
          <w:i/>
        </w:rPr>
        <w:t>Különböző egyházakhoz tartozó testvéreinkkel együtt éljük ezt az igét, amelyet egy német ökumenikus csoport választott, hogy ez az ígéret egész év folyamán kísérjen bennünket.</w:t>
      </w:r>
    </w:p>
    <w:p w14:paraId="300C2FA8" w14:textId="77777777" w:rsidR="007B70F0" w:rsidRDefault="007B70F0">
      <w:pPr>
        <w:rPr>
          <w:i/>
        </w:rPr>
      </w:pPr>
    </w:p>
    <w:p w14:paraId="5E8D1E24" w14:textId="77777777" w:rsidR="007A572F" w:rsidRDefault="007B70F0">
      <w:pPr>
        <w:ind w:right="140"/>
        <w:jc w:val="right"/>
      </w:pPr>
      <w:r>
        <w:rPr>
          <w:b/>
          <w:i/>
          <w:color w:val="000000"/>
          <w:shd w:val="clear" w:color="auto" w:fill="FFFFFF"/>
        </w:rPr>
        <w:t>Fabio Ciardi</w:t>
      </w:r>
      <w:bookmarkStart w:id="0" w:name="__DdeLink__5_140543139"/>
      <w:bookmarkEnd w:id="0"/>
    </w:p>
    <w:sectPr w:rsidR="007A572F">
      <w:pgSz w:w="11906" w:h="16838"/>
      <w:pgMar w:top="850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BC41A" w14:textId="77777777" w:rsidR="00430A50" w:rsidRDefault="00430A50">
      <w:r>
        <w:separator/>
      </w:r>
    </w:p>
  </w:endnote>
  <w:endnote w:type="continuationSeparator" w:id="0">
    <w:p w14:paraId="629EBB8A" w14:textId="77777777" w:rsidR="00430A50" w:rsidRDefault="00430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 Unicode MS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88C06" w14:textId="77777777" w:rsidR="00430A50" w:rsidRDefault="00430A50">
      <w:r>
        <w:separator/>
      </w:r>
    </w:p>
  </w:footnote>
  <w:footnote w:type="continuationSeparator" w:id="0">
    <w:p w14:paraId="18A3490B" w14:textId="77777777" w:rsidR="00430A50" w:rsidRDefault="00430A50">
      <w:r>
        <w:continuationSeparator/>
      </w:r>
    </w:p>
  </w:footnote>
  <w:footnote w:id="1">
    <w:p w14:paraId="582445A0" w14:textId="77777777" w:rsidR="00430A50" w:rsidRDefault="007B70F0">
      <w:pPr>
        <w:pStyle w:val="Lbjegyzetszveg"/>
      </w:pPr>
      <w:r>
        <w:rPr>
          <w:rStyle w:val="Lbjegyzet-karakterek"/>
          <w:rFonts w:ascii="Times New Roman" w:hAnsi="Times New Roman"/>
        </w:rPr>
        <w:footnoteRef/>
      </w:r>
      <w:r>
        <w:tab/>
        <w:t xml:space="preserve"> Chiara Lubich, </w:t>
      </w:r>
      <w:r>
        <w:rPr>
          <w:rFonts w:ascii="Arial Unicode MS CE" w:hAnsi="Arial Unicode MS CE" w:cs="Arial Unicode MS CE"/>
          <w:i/>
        </w:rPr>
        <w:t>Elmélkedések</w:t>
      </w:r>
      <w:r>
        <w:rPr>
          <w:rFonts w:ascii="Arial Unicode MS CE" w:hAnsi="Arial Unicode MS CE" w:cs="Arial Unicode MS CE"/>
        </w:rPr>
        <w:t>, Új Város, Budapest 2008, 19.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72F"/>
    <w:rsid w:val="001D4A08"/>
    <w:rsid w:val="00430A50"/>
    <w:rsid w:val="007A572F"/>
    <w:rsid w:val="007B70F0"/>
    <w:rsid w:val="00AB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9376B74"/>
  <w14:defaultImageDpi w14:val="0"/>
  <w15:docId w15:val="{9C4743A0-1D15-466B-8DB6-72088EB0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Cmsor1">
    <w:name w:val="heading 1"/>
    <w:basedOn w:val="Cmsor"/>
    <w:next w:val="Szvegtrzs"/>
    <w:link w:val="Cmsor1Char"/>
    <w:uiPriority w:val="9"/>
    <w:qFormat/>
    <w:pPr>
      <w:numPr>
        <w:numId w:val="2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Cmsor"/>
    <w:next w:val="Szvegtrzs"/>
    <w:link w:val="Cmsor2Char"/>
    <w:uiPriority w:val="9"/>
    <w:qFormat/>
    <w:pPr>
      <w:numPr>
        <w:ilvl w:val="1"/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next w:val="Szvegtrzs"/>
    <w:link w:val="Cmsor3Char"/>
    <w:uiPriority w:val="9"/>
    <w:qFormat/>
    <w:pPr>
      <w:numPr>
        <w:ilvl w:val="2"/>
        <w:numId w:val="2"/>
      </w:numPr>
      <w:spacing w:before="140"/>
      <w:outlineLvl w:val="2"/>
    </w:pPr>
    <w:rPr>
      <w:b/>
      <w:bCs/>
    </w:rPr>
  </w:style>
  <w:style w:type="character" w:default="1" w:styleId="Bekezdsalapbettpusa">
    <w:name w:val="Default Paragraph Font"/>
    <w:uiPriority w:val="1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Cmsor2Char">
    <w:name w:val="Címsor 2 Char"/>
    <w:link w:val="Cmsor2"/>
    <w:uiPriority w:val="9"/>
    <w:semiHidden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zh-CN"/>
    </w:rPr>
  </w:style>
  <w:style w:type="character" w:customStyle="1" w:styleId="Cmsor3Char">
    <w:name w:val="Címsor 3 Char"/>
    <w:link w:val="Cmsor3"/>
    <w:uiPriority w:val="9"/>
    <w:semiHidden/>
    <w:rPr>
      <w:rFonts w:ascii="Cambria" w:eastAsia="Times New Roman" w:hAnsi="Cambria" w:cs="Times New Roman"/>
      <w:b/>
      <w:bCs/>
      <w:kern w:val="1"/>
      <w:sz w:val="26"/>
      <w:szCs w:val="26"/>
      <w:lang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ekezdsalapbettpusa6">
    <w:name w:val="Bekezdés alapbetűtípusa6"/>
  </w:style>
  <w:style w:type="character" w:customStyle="1" w:styleId="Bekezdsalapbettpusa5">
    <w:name w:val="Bekezdés alapbetűtípusa5"/>
  </w:style>
  <w:style w:type="character" w:customStyle="1" w:styleId="Bekezdsalapbettpusa4">
    <w:name w:val="Bekezdés alapbetűtípusa4"/>
  </w:style>
  <w:style w:type="character" w:customStyle="1" w:styleId="Bekezdsalapbettpusa3">
    <w:name w:val="Bekezdés alapbetűtípusa3"/>
  </w:style>
  <w:style w:type="character" w:customStyle="1" w:styleId="Bekezdsalapbettpusa2">
    <w:name w:val="Bekezdés alapbetűtípusa2"/>
  </w:style>
  <w:style w:type="character" w:customStyle="1" w:styleId="Bekezdsalapbettpusa1">
    <w:name w:val="Bekezdés alapbetűtípusa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Carpredefinitoparagrafo2">
    <w:name w:val="Car. predefinito paragrafo2"/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Carpredefinitoparagrafo1">
    <w:name w:val="Car. predefinito paragrafo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Punti">
    <w:name w:val="Punti"/>
    <w:rPr>
      <w:rFonts w:ascii="OpenSymbol" w:hAnsi="OpenSymbol"/>
    </w:rPr>
  </w:style>
  <w:style w:type="character" w:styleId="Hiperhivatkozs">
    <w:name w:val="Hyperlink"/>
    <w:uiPriority w:val="99"/>
    <w:rPr>
      <w:rFonts w:ascii="Times New Roman" w:hAnsi="Times New Roman"/>
      <w:color w:val="000080"/>
      <w:u w:val="single"/>
      <w:lang w:eastAsia="x-none"/>
    </w:rPr>
  </w:style>
  <w:style w:type="character" w:customStyle="1" w:styleId="LbjegyzetszvegChar">
    <w:name w:val="Lábjegyzetszöveg Char"/>
    <w:rPr>
      <w:lang w:val="it-IT" w:eastAsia="x-none"/>
    </w:rPr>
  </w:style>
  <w:style w:type="character" w:customStyle="1" w:styleId="Lbjegyzet-karakterek">
    <w:name w:val="Lábjegyzet-karakterek"/>
    <w:rPr>
      <w:vertAlign w:val="superscript"/>
    </w:rPr>
  </w:style>
  <w:style w:type="character" w:styleId="Oldalszm">
    <w:name w:val="page number"/>
    <w:uiPriority w:val="99"/>
    <w:rPr>
      <w:rFonts w:ascii="Times New Roman" w:hAnsi="Times New Roman"/>
    </w:rPr>
  </w:style>
  <w:style w:type="character" w:customStyle="1" w:styleId="llbChar">
    <w:name w:val="Élőláb Char"/>
    <w:rPr>
      <w:rFonts w:eastAsia="Times New Roman"/>
      <w:kern w:val="1"/>
      <w:sz w:val="21"/>
      <w:lang w:val="it-IT" w:eastAsia="x-none"/>
    </w:rPr>
  </w:style>
  <w:style w:type="character" w:customStyle="1" w:styleId="BuborkszvegChar">
    <w:name w:val="Buborékszöveg Char"/>
    <w:rPr>
      <w:rFonts w:ascii="Tahoma" w:eastAsia="Times New Roman" w:hAnsi="Tahoma"/>
      <w:kern w:val="1"/>
      <w:sz w:val="14"/>
      <w:lang w:val="it-IT" w:eastAsia="x-none"/>
    </w:rPr>
  </w:style>
  <w:style w:type="character" w:customStyle="1" w:styleId="text-muted1">
    <w:name w:val="text-muted1"/>
    <w:rPr>
      <w:color w:val="auto"/>
    </w:rPr>
  </w:style>
  <w:style w:type="character" w:customStyle="1" w:styleId="Lbjegyzet-hivatkozs1">
    <w:name w:val="Lábjegyzet-hivatkozás1"/>
    <w:rPr>
      <w:vertAlign w:val="superscript"/>
    </w:rPr>
  </w:style>
  <w:style w:type="character" w:customStyle="1" w:styleId="Vgjegyzet-karakterek">
    <w:name w:val="Végjegyzet-karakterek"/>
    <w:rPr>
      <w:vertAlign w:val="superscript"/>
    </w:rPr>
  </w:style>
  <w:style w:type="character" w:customStyle="1" w:styleId="WW-Vgjegyzet-karakterek">
    <w:name w:val="WW-Végjegyzet-karakterek"/>
  </w:style>
  <w:style w:type="character" w:customStyle="1" w:styleId="apple-converted-space">
    <w:name w:val="apple-converted-space"/>
    <w:rPr>
      <w:rFonts w:ascii="Times New Roman" w:hAnsi="Times New Roman"/>
    </w:rPr>
  </w:style>
  <w:style w:type="character" w:customStyle="1" w:styleId="BodyTextChar">
    <w:name w:val="Body Text Char"/>
    <w:rPr>
      <w:rFonts w:ascii="Mangal" w:eastAsia="Times New Roman" w:hAnsi="Mangal"/>
      <w:kern w:val="1"/>
      <w:sz w:val="21"/>
      <w:lang w:val="x-none" w:eastAsia="zh-CN"/>
    </w:rPr>
  </w:style>
  <w:style w:type="character" w:customStyle="1" w:styleId="FootnoteTextChar">
    <w:name w:val="Footnote Text Char"/>
    <w:rPr>
      <w:rFonts w:ascii="Mangal" w:eastAsia="Times New Roman" w:hAnsi="Mangal"/>
      <w:kern w:val="1"/>
      <w:sz w:val="18"/>
      <w:lang w:val="x-none" w:eastAsia="zh-CN"/>
    </w:rPr>
  </w:style>
  <w:style w:type="character" w:customStyle="1" w:styleId="HeaderChar">
    <w:name w:val="Header Char"/>
    <w:rPr>
      <w:rFonts w:ascii="Mangal" w:eastAsia="Times New Roman" w:hAnsi="Mangal"/>
      <w:kern w:val="1"/>
      <w:sz w:val="21"/>
      <w:lang w:val="x-none" w:eastAsia="zh-CN"/>
    </w:rPr>
  </w:style>
  <w:style w:type="character" w:customStyle="1" w:styleId="FooterChar">
    <w:name w:val="Footer Char"/>
    <w:rPr>
      <w:rFonts w:ascii="Mangal" w:eastAsia="Times New Roman" w:hAnsi="Mangal"/>
      <w:kern w:val="1"/>
      <w:sz w:val="21"/>
      <w:lang w:val="x-none" w:eastAsia="zh-CN"/>
    </w:rPr>
  </w:style>
  <w:style w:type="character" w:customStyle="1" w:styleId="BalloonTextChar">
    <w:name w:val="Balloon Text Char"/>
    <w:rPr>
      <w:rFonts w:ascii="Tahoma" w:eastAsia="Times New Roman" w:hAnsi="Tahoma"/>
      <w:kern w:val="1"/>
      <w:sz w:val="14"/>
      <w:lang w:val="x-none" w:eastAsia="zh-CN"/>
    </w:rPr>
  </w:style>
  <w:style w:type="character" w:styleId="Mrltotthiperhivatkozs">
    <w:name w:val="FollowedHyperlink"/>
    <w:uiPriority w:val="99"/>
    <w:rPr>
      <w:color w:val="800080"/>
      <w:u w:val="single"/>
    </w:rPr>
  </w:style>
  <w:style w:type="character" w:styleId="Lbjegyzet-hivatkozs">
    <w:name w:val="footnote reference"/>
    <w:uiPriority w:val="99"/>
    <w:rPr>
      <w:vertAlign w:val="superscript"/>
    </w:rPr>
  </w:style>
  <w:style w:type="character" w:styleId="Vgjegyzet-hivatkozs">
    <w:name w:val="endnote reference"/>
    <w:uiPriority w:val="99"/>
    <w:rPr>
      <w:vertAlign w:val="superscript"/>
    </w:rPr>
  </w:style>
  <w:style w:type="character" w:customStyle="1" w:styleId="BodyTextChar1">
    <w:name w:val="Body Text Char1"/>
    <w:rPr>
      <w:rFonts w:eastAsia="Times New Roman"/>
      <w:kern w:val="1"/>
      <w:sz w:val="24"/>
      <w:lang w:val="x-none" w:eastAsia="zh-CN"/>
    </w:rPr>
  </w:style>
  <w:style w:type="character" w:customStyle="1" w:styleId="FootnoteTextChar1">
    <w:name w:val="Footnote Text Char1"/>
    <w:rPr>
      <w:rFonts w:eastAsia="Times New Roman"/>
      <w:kern w:val="1"/>
      <w:lang w:val="x-none" w:eastAsia="zh-CN"/>
    </w:rPr>
  </w:style>
  <w:style w:type="character" w:customStyle="1" w:styleId="HeaderChar1">
    <w:name w:val="Header Char1"/>
    <w:rPr>
      <w:rFonts w:eastAsia="Times New Roman"/>
      <w:kern w:val="1"/>
      <w:sz w:val="24"/>
      <w:lang w:val="x-none" w:eastAsia="zh-CN"/>
    </w:rPr>
  </w:style>
  <w:style w:type="character" w:customStyle="1" w:styleId="FooterChar1">
    <w:name w:val="Footer Char1"/>
    <w:rPr>
      <w:rFonts w:eastAsia="Times New Roman"/>
      <w:kern w:val="1"/>
      <w:sz w:val="24"/>
      <w:lang w:val="x-none" w:eastAsia="zh-CN"/>
    </w:rPr>
  </w:style>
  <w:style w:type="character" w:customStyle="1" w:styleId="BalloonTextChar1">
    <w:name w:val="Balloon Text Char1"/>
    <w:rPr>
      <w:rFonts w:ascii="Tahoma" w:eastAsia="Times New Roman" w:hAnsi="Tahoma"/>
      <w:kern w:val="1"/>
      <w:sz w:val="16"/>
      <w:lang w:val="x-none" w:eastAsia="zh-CN"/>
    </w:rPr>
  </w:style>
  <w:style w:type="character" w:customStyle="1" w:styleId="BuborkszvegChar1">
    <w:name w:val="Buborékszöveg Char1"/>
    <w:rPr>
      <w:rFonts w:ascii="Tahoma" w:eastAsia="Times New Roman" w:hAnsi="Tahoma"/>
      <w:kern w:val="1"/>
      <w:sz w:val="16"/>
      <w:lang w:val="x-none" w:eastAsia="zh-CN"/>
    </w:rPr>
  </w:style>
  <w:style w:type="character" w:customStyle="1" w:styleId="Lbjegyzet-hivatkozs2">
    <w:name w:val="Lábjegyzet-hivatkozás2"/>
    <w:rPr>
      <w:vertAlign w:val="superscript"/>
    </w:rPr>
  </w:style>
  <w:style w:type="character" w:customStyle="1" w:styleId="Lbjegyzet-hivatkozs3">
    <w:name w:val="Lábjegyzet-hivatkozás3"/>
    <w:rPr>
      <w:vertAlign w:val="superscript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Szvegtrzs">
    <w:name w:val="Body Text"/>
    <w:basedOn w:val="Norml"/>
    <w:link w:val="SzvegtrzsChar"/>
    <w:uiPriority w:val="99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Pr>
      <w:kern w:val="1"/>
      <w:sz w:val="24"/>
      <w:szCs w:val="24"/>
      <w:lang w:eastAsia="zh-CN"/>
    </w:rPr>
  </w:style>
  <w:style w:type="paragraph" w:styleId="Lista">
    <w:name w:val="List"/>
    <w:basedOn w:val="Szvegtrzs"/>
    <w:uiPriority w:val="99"/>
  </w:style>
  <w:style w:type="paragraph" w:styleId="Kpalrs">
    <w:name w:val="caption"/>
    <w:basedOn w:val="Norml"/>
    <w:uiPriority w:val="35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Kpalrs5">
    <w:name w:val="Képaláírás5"/>
    <w:basedOn w:val="Norml"/>
    <w:pPr>
      <w:suppressLineNumbers/>
      <w:spacing w:before="120" w:after="120"/>
    </w:pPr>
    <w:rPr>
      <w:rFonts w:cs="FreeSans"/>
      <w:i/>
      <w:iCs/>
    </w:rPr>
  </w:style>
  <w:style w:type="paragraph" w:customStyle="1" w:styleId="Kpalrs4">
    <w:name w:val="Képaláírás4"/>
    <w:basedOn w:val="Norml"/>
    <w:pPr>
      <w:suppressLineNumbers/>
      <w:spacing w:before="120" w:after="120"/>
    </w:pPr>
    <w:rPr>
      <w:rFonts w:cs="FreeSans"/>
      <w:i/>
      <w:iCs/>
    </w:rPr>
  </w:style>
  <w:style w:type="paragraph" w:customStyle="1" w:styleId="Kpalrs3">
    <w:name w:val="Képaláírás3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Kpalrs2">
    <w:name w:val="Képaláírás2"/>
    <w:basedOn w:val="Norml"/>
    <w:pPr>
      <w:suppressLineNumbers/>
      <w:spacing w:before="120" w:after="120"/>
    </w:pPr>
    <w:rPr>
      <w:i/>
      <w:iCs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i/>
      <w:iCs/>
    </w:rPr>
  </w:style>
  <w:style w:type="paragraph" w:customStyle="1" w:styleId="Intestazione3">
    <w:name w:val="Intestazione3"/>
    <w:basedOn w:val="Norml"/>
    <w:next w:val="Szvegtrzs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Didascalia3">
    <w:name w:val="Didascalia3"/>
    <w:basedOn w:val="Norml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l"/>
    <w:pPr>
      <w:suppressLineNumbers/>
    </w:pPr>
  </w:style>
  <w:style w:type="paragraph" w:customStyle="1" w:styleId="Intestazione2">
    <w:name w:val="Intestazione2"/>
    <w:basedOn w:val="Norml"/>
    <w:next w:val="Szvegtrzs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Didascalia2">
    <w:name w:val="Didascalia2"/>
    <w:basedOn w:val="Norml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l"/>
    <w:next w:val="Szvegtrzs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Didascalia1">
    <w:name w:val="Didascalia1"/>
    <w:basedOn w:val="Norml"/>
    <w:pPr>
      <w:suppressLineNumbers/>
      <w:spacing w:before="120" w:after="120"/>
    </w:pPr>
    <w:rPr>
      <w:i/>
      <w:iCs/>
    </w:rPr>
  </w:style>
  <w:style w:type="paragraph" w:styleId="Lbjegyzetszveg">
    <w:name w:val="footnote text"/>
    <w:basedOn w:val="Norml"/>
    <w:link w:val="LbjegyzetszvegChar1"/>
    <w:uiPriority w:val="99"/>
    <w:pPr>
      <w:widowControl/>
      <w:suppressAutoHyphens w:val="0"/>
      <w:ind w:firstLine="709"/>
      <w:jc w:val="both"/>
    </w:pPr>
    <w:rPr>
      <w:rFonts w:ascii="Arial Unicode MS" w:hAnsi="Arial Unicode MS" w:cs="Arial Unicode MS"/>
      <w:sz w:val="20"/>
      <w:szCs w:val="20"/>
    </w:rPr>
  </w:style>
  <w:style w:type="character" w:customStyle="1" w:styleId="LbjegyzetszvegChar1">
    <w:name w:val="Lábjegyzetszöveg Char1"/>
    <w:link w:val="Lbjegyzetszveg"/>
    <w:uiPriority w:val="99"/>
    <w:semiHidden/>
    <w:rPr>
      <w:kern w:val="1"/>
      <w:lang w:eastAsia="zh-CN"/>
    </w:rPr>
  </w:style>
  <w:style w:type="paragraph" w:styleId="lfej">
    <w:name w:val="header"/>
    <w:basedOn w:val="Norml"/>
    <w:link w:val="lfejChar"/>
    <w:uiPriority w:val="99"/>
    <w:pPr>
      <w:tabs>
        <w:tab w:val="center" w:pos="4819"/>
        <w:tab w:val="right" w:pos="9638"/>
      </w:tabs>
    </w:pPr>
  </w:style>
  <w:style w:type="character" w:customStyle="1" w:styleId="lfejChar">
    <w:name w:val="Élőfej Char"/>
    <w:link w:val="lfej"/>
    <w:uiPriority w:val="99"/>
    <w:semiHidden/>
    <w:rPr>
      <w:kern w:val="1"/>
      <w:sz w:val="24"/>
      <w:szCs w:val="24"/>
      <w:lang w:eastAsia="zh-CN"/>
    </w:rPr>
  </w:style>
  <w:style w:type="paragraph" w:styleId="llb">
    <w:name w:val="footer"/>
    <w:basedOn w:val="Norml"/>
    <w:link w:val="llbChar1"/>
    <w:uiPriority w:val="99"/>
    <w:pPr>
      <w:tabs>
        <w:tab w:val="center" w:pos="4536"/>
        <w:tab w:val="right" w:pos="9072"/>
      </w:tabs>
    </w:pPr>
  </w:style>
  <w:style w:type="character" w:customStyle="1" w:styleId="llbChar1">
    <w:name w:val="Élőláb Char1"/>
    <w:link w:val="llb"/>
    <w:uiPriority w:val="99"/>
    <w:semiHidden/>
    <w:rPr>
      <w:kern w:val="1"/>
      <w:sz w:val="24"/>
      <w:szCs w:val="24"/>
      <w:lang w:eastAsia="zh-CN"/>
    </w:rPr>
  </w:style>
  <w:style w:type="paragraph" w:styleId="Buborkszveg">
    <w:name w:val="Balloon Text"/>
    <w:basedOn w:val="Norml"/>
    <w:link w:val="BuborkszvegChar2"/>
    <w:uiPriority w:val="99"/>
    <w:rPr>
      <w:rFonts w:ascii="Tahoma" w:hAnsi="Tahoma" w:cs="Tahoma"/>
      <w:sz w:val="16"/>
      <w:szCs w:val="16"/>
    </w:rPr>
  </w:style>
  <w:style w:type="character" w:customStyle="1" w:styleId="BuborkszvegChar2">
    <w:name w:val="Buborékszöveg Char2"/>
    <w:link w:val="Buborkszveg"/>
    <w:uiPriority w:val="99"/>
    <w:semiHidden/>
    <w:rPr>
      <w:rFonts w:ascii="Segoe UI" w:hAnsi="Segoe UI" w:cs="Segoe UI"/>
      <w:kern w:val="1"/>
      <w:sz w:val="18"/>
      <w:szCs w:val="18"/>
      <w:lang w:eastAsia="zh-CN"/>
    </w:rPr>
  </w:style>
  <w:style w:type="paragraph" w:customStyle="1" w:styleId="Kerettartalom">
    <w:name w:val="Kerettartalom"/>
    <w:basedOn w:val="Norml"/>
  </w:style>
  <w:style w:type="paragraph" w:styleId="NormlWeb">
    <w:name w:val="Normal (Web)"/>
    <w:basedOn w:val="Norml"/>
    <w:uiPriority w:val="99"/>
    <w:pPr>
      <w:widowControl/>
      <w:suppressAutoHyphens w:val="0"/>
      <w:spacing w:before="100" w:after="119"/>
    </w:pPr>
    <w:rPr>
      <w:rFonts w:ascii="Arial Unicode MS" w:hAnsi="Arial Unicode MS" w:cs="Arial Unicode MS"/>
    </w:rPr>
  </w:style>
  <w:style w:type="paragraph" w:customStyle="1" w:styleId="sdfootnote">
    <w:name w:val="sdfootnote"/>
    <w:basedOn w:val="Norml"/>
    <w:pPr>
      <w:widowControl/>
      <w:suppressAutoHyphens w:val="0"/>
      <w:spacing w:before="100"/>
      <w:ind w:left="284" w:hanging="284"/>
    </w:pPr>
    <w:rPr>
      <w:rFonts w:ascii="Arial Unicode MS" w:hAnsi="Arial Unicode MS" w:cs="Arial Unicode MS"/>
      <w:sz w:val="20"/>
      <w:szCs w:val="20"/>
    </w:rPr>
  </w:style>
  <w:style w:type="paragraph" w:styleId="Vltozat">
    <w:name w:val="Revision"/>
    <w:uiPriority w:val="99"/>
    <w:pPr>
      <w:suppressAutoHyphens/>
    </w:pPr>
    <w:rPr>
      <w:kern w:val="1"/>
      <w:sz w:val="24"/>
      <w:szCs w:val="24"/>
      <w:lang w:eastAsia="zh-CN"/>
    </w:rPr>
  </w:style>
  <w:style w:type="paragraph" w:customStyle="1" w:styleId="Idzetblokk">
    <w:name w:val="Idézetblokk"/>
    <w:basedOn w:val="Norml"/>
    <w:pPr>
      <w:spacing w:after="283"/>
      <w:ind w:left="567" w:right="567"/>
    </w:pPr>
  </w:style>
  <w:style w:type="paragraph" w:styleId="Cm">
    <w:name w:val="Title"/>
    <w:basedOn w:val="Cmsor"/>
    <w:next w:val="Szvegtrzs"/>
    <w:link w:val="CmChar"/>
    <w:uiPriority w:val="10"/>
    <w:qFormat/>
    <w:pPr>
      <w:jc w:val="center"/>
    </w:pPr>
    <w:rPr>
      <w:b/>
      <w:bCs/>
      <w:sz w:val="56"/>
      <w:szCs w:val="56"/>
    </w:rPr>
  </w:style>
  <w:style w:type="character" w:customStyle="1" w:styleId="CmChar">
    <w:name w:val="Cím Char"/>
    <w:link w:val="Cm"/>
    <w:uiPriority w:val="10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Alcm">
    <w:name w:val="Subtitle"/>
    <w:basedOn w:val="Cmsor"/>
    <w:next w:val="Szvegtrzs"/>
    <w:link w:val="AlcmChar"/>
    <w:uiPriority w:val="11"/>
    <w:qFormat/>
    <w:pPr>
      <w:spacing w:before="60"/>
      <w:jc w:val="center"/>
    </w:pPr>
    <w:rPr>
      <w:sz w:val="36"/>
      <w:szCs w:val="36"/>
    </w:rPr>
  </w:style>
  <w:style w:type="character" w:customStyle="1" w:styleId="AlcmChar">
    <w:name w:val="Alcím Char"/>
    <w:link w:val="Alcm"/>
    <w:uiPriority w:val="11"/>
    <w:rPr>
      <w:rFonts w:ascii="Cambria" w:eastAsia="Times New Roman" w:hAnsi="Cambria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Centro dell'Opera, 1 dicembre 2011</vt:lpstr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dell'Opera, 1 dicembre 2011</dc:title>
  <dc:subject/>
  <dc:creator>.</dc:creator>
  <cp:keywords/>
  <dc:description/>
  <cp:lastModifiedBy>Sándor Bodnár</cp:lastModifiedBy>
  <cp:revision>2</cp:revision>
  <cp:lastPrinted>2015-07-29T10:54:00Z</cp:lastPrinted>
  <dcterms:created xsi:type="dcterms:W3CDTF">2021-01-05T08:55:00Z</dcterms:created>
  <dcterms:modified xsi:type="dcterms:W3CDTF">2021-01-05T08:55:00Z</dcterms:modified>
</cp:coreProperties>
</file>